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81F0E6" w14:textId="77777777" w:rsidR="0053663A" w:rsidRPr="0066744E" w:rsidRDefault="001A6284" w:rsidP="008B618D">
      <w:pPr>
        <w:spacing w:after="0" w:line="240" w:lineRule="auto"/>
        <w:jc w:val="center"/>
        <w:rPr>
          <w:rFonts w:ascii="Arial" w:hAnsi="Arial" w:cs="Arial"/>
          <w:b/>
        </w:rPr>
      </w:pPr>
      <w:bookmarkStart w:id="0" w:name="_GoBack"/>
      <w:bookmarkEnd w:id="0"/>
      <w:r>
        <w:rPr>
          <w:rFonts w:ascii="Arial" w:hAnsi="Arial" w:cs="Arial"/>
          <w:b/>
        </w:rPr>
        <w:t xml:space="preserve">PART III - </w:t>
      </w:r>
      <w:r w:rsidR="00EE25B4" w:rsidRPr="0066744E">
        <w:rPr>
          <w:rFonts w:ascii="Arial" w:hAnsi="Arial" w:cs="Arial"/>
          <w:b/>
        </w:rPr>
        <w:t xml:space="preserve">STATUS OF </w:t>
      </w:r>
      <w:r w:rsidR="00EF4A9E" w:rsidRPr="0066744E">
        <w:rPr>
          <w:rFonts w:ascii="Arial" w:hAnsi="Arial" w:cs="Arial"/>
          <w:b/>
        </w:rPr>
        <w:t xml:space="preserve">IMPLEMENTATION OF </w:t>
      </w:r>
      <w:r w:rsidR="00EE25B4" w:rsidRPr="0066744E">
        <w:rPr>
          <w:rFonts w:ascii="Arial" w:hAnsi="Arial" w:cs="Arial"/>
          <w:b/>
        </w:rPr>
        <w:t>PRIOR YEAR</w:t>
      </w:r>
      <w:r w:rsidR="00F95CF8" w:rsidRPr="0066744E">
        <w:rPr>
          <w:rFonts w:ascii="Arial" w:hAnsi="Arial" w:cs="Arial"/>
          <w:b/>
        </w:rPr>
        <w:t>S</w:t>
      </w:r>
      <w:r w:rsidR="00D7084B" w:rsidRPr="0066744E">
        <w:rPr>
          <w:rFonts w:ascii="Arial" w:hAnsi="Arial" w:cs="Arial"/>
          <w:b/>
        </w:rPr>
        <w:t>’</w:t>
      </w:r>
    </w:p>
    <w:p w14:paraId="2D038C09" w14:textId="77777777" w:rsidR="0004319B" w:rsidRPr="0066744E" w:rsidRDefault="00EE25B4" w:rsidP="008B618D">
      <w:pPr>
        <w:spacing w:after="0" w:line="240" w:lineRule="auto"/>
        <w:jc w:val="center"/>
        <w:rPr>
          <w:rFonts w:ascii="Arial" w:hAnsi="Arial" w:cs="Arial"/>
          <w:b/>
        </w:rPr>
      </w:pPr>
      <w:r w:rsidRPr="0066744E">
        <w:rPr>
          <w:rFonts w:ascii="Arial" w:hAnsi="Arial" w:cs="Arial"/>
          <w:b/>
        </w:rPr>
        <w:t>AUDIT RECOMMENDATIONS</w:t>
      </w:r>
    </w:p>
    <w:p w14:paraId="7C1FFF12" w14:textId="77777777" w:rsidR="00582B28" w:rsidRPr="0066744E" w:rsidRDefault="00582B28" w:rsidP="008B618D">
      <w:pPr>
        <w:spacing w:after="0" w:line="240" w:lineRule="auto"/>
        <w:rPr>
          <w:rFonts w:ascii="Arial" w:hAnsi="Arial" w:cs="Arial"/>
        </w:rPr>
      </w:pPr>
    </w:p>
    <w:p w14:paraId="72895284" w14:textId="77777777" w:rsidR="00582B28" w:rsidRPr="00D34242" w:rsidRDefault="00582B28" w:rsidP="008B618D">
      <w:pPr>
        <w:spacing w:after="0" w:line="240" w:lineRule="auto"/>
        <w:rPr>
          <w:rFonts w:ascii="Arial" w:hAnsi="Arial" w:cs="Arial"/>
        </w:rPr>
      </w:pPr>
    </w:p>
    <w:p w14:paraId="192F9142" w14:textId="6BBB0398" w:rsidR="00B6138F" w:rsidRPr="009B038D" w:rsidRDefault="004C6093" w:rsidP="00B502B7">
      <w:pPr>
        <w:spacing w:after="0" w:line="240" w:lineRule="auto"/>
        <w:ind w:left="-90"/>
        <w:rPr>
          <w:rFonts w:ascii="Arial" w:hAnsi="Arial" w:cs="Arial"/>
        </w:rPr>
      </w:pPr>
      <w:bookmarkStart w:id="1" w:name="_Hlk8369925"/>
      <w:r w:rsidRPr="009B038D">
        <w:rPr>
          <w:rFonts w:ascii="Arial" w:hAnsi="Arial" w:cs="Arial"/>
        </w:rPr>
        <w:t xml:space="preserve">Of the </w:t>
      </w:r>
      <w:r w:rsidR="00394830">
        <w:rPr>
          <w:rFonts w:ascii="Arial" w:hAnsi="Arial" w:cs="Arial"/>
        </w:rPr>
        <w:t>48</w:t>
      </w:r>
      <w:r w:rsidRPr="009B038D">
        <w:rPr>
          <w:rFonts w:ascii="Arial" w:hAnsi="Arial" w:cs="Arial"/>
        </w:rPr>
        <w:t xml:space="preserve"> </w:t>
      </w:r>
      <w:r w:rsidR="00B6138F" w:rsidRPr="009B038D">
        <w:rPr>
          <w:rFonts w:ascii="Arial" w:hAnsi="Arial" w:cs="Arial"/>
        </w:rPr>
        <w:t xml:space="preserve">audit recommendations embodied in the </w:t>
      </w:r>
      <w:r w:rsidR="00856447" w:rsidRPr="009B038D">
        <w:rPr>
          <w:rFonts w:ascii="Arial" w:hAnsi="Arial" w:cs="Arial"/>
        </w:rPr>
        <w:t>Annual Audit Reports</w:t>
      </w:r>
      <w:r w:rsidR="00993B99" w:rsidRPr="009B038D">
        <w:rPr>
          <w:rFonts w:ascii="Arial" w:hAnsi="Arial" w:cs="Arial"/>
        </w:rPr>
        <w:t xml:space="preserve"> (AARs)</w:t>
      </w:r>
      <w:r w:rsidRPr="009B038D">
        <w:rPr>
          <w:rFonts w:ascii="Arial" w:hAnsi="Arial" w:cs="Arial"/>
        </w:rPr>
        <w:t xml:space="preserve"> for Calendar Years (CYs) </w:t>
      </w:r>
      <w:r w:rsidR="004C4BE5" w:rsidRPr="009B038D">
        <w:rPr>
          <w:rFonts w:ascii="Arial" w:hAnsi="Arial" w:cs="Arial"/>
        </w:rPr>
        <w:t>201</w:t>
      </w:r>
      <w:r w:rsidR="009B038D" w:rsidRPr="009B038D">
        <w:rPr>
          <w:rFonts w:ascii="Arial" w:hAnsi="Arial" w:cs="Arial"/>
        </w:rPr>
        <w:t>8</w:t>
      </w:r>
      <w:r w:rsidR="004C4BE5" w:rsidRPr="009B038D">
        <w:rPr>
          <w:rFonts w:ascii="Arial" w:hAnsi="Arial" w:cs="Arial"/>
        </w:rPr>
        <w:t xml:space="preserve"> and prior years</w:t>
      </w:r>
      <w:r w:rsidR="00856447" w:rsidRPr="009B038D">
        <w:rPr>
          <w:rFonts w:ascii="Arial" w:hAnsi="Arial" w:cs="Arial"/>
        </w:rPr>
        <w:t>,</w:t>
      </w:r>
      <w:r w:rsidR="0061369B">
        <w:rPr>
          <w:rFonts w:ascii="Arial" w:hAnsi="Arial" w:cs="Arial"/>
        </w:rPr>
        <w:t xml:space="preserve"> </w:t>
      </w:r>
      <w:r w:rsidR="00BF3A1A">
        <w:rPr>
          <w:rFonts w:ascii="Arial" w:hAnsi="Arial" w:cs="Arial"/>
        </w:rPr>
        <w:t>1</w:t>
      </w:r>
      <w:r w:rsidR="00394830">
        <w:rPr>
          <w:rFonts w:ascii="Arial" w:hAnsi="Arial" w:cs="Arial"/>
        </w:rPr>
        <w:t>0</w:t>
      </w:r>
      <w:r w:rsidRPr="009B038D">
        <w:rPr>
          <w:rFonts w:ascii="Arial" w:hAnsi="Arial" w:cs="Arial"/>
        </w:rPr>
        <w:t xml:space="preserve"> </w:t>
      </w:r>
      <w:r w:rsidR="00B6138F" w:rsidRPr="009B038D">
        <w:rPr>
          <w:rFonts w:ascii="Arial" w:hAnsi="Arial" w:cs="Arial"/>
        </w:rPr>
        <w:t xml:space="preserve">were </w:t>
      </w:r>
      <w:r w:rsidR="00277F1F" w:rsidRPr="009B038D">
        <w:rPr>
          <w:rFonts w:ascii="Arial" w:hAnsi="Arial" w:cs="Arial"/>
        </w:rPr>
        <w:t xml:space="preserve">fully </w:t>
      </w:r>
      <w:r w:rsidR="002F708E" w:rsidRPr="009B038D">
        <w:rPr>
          <w:rFonts w:ascii="Arial" w:hAnsi="Arial" w:cs="Arial"/>
        </w:rPr>
        <w:t>implemented</w:t>
      </w:r>
      <w:r w:rsidR="007835FC" w:rsidRPr="009B038D">
        <w:rPr>
          <w:rFonts w:ascii="Arial" w:hAnsi="Arial" w:cs="Arial"/>
        </w:rPr>
        <w:t xml:space="preserve">, </w:t>
      </w:r>
      <w:r w:rsidR="004C4BE5" w:rsidRPr="009B038D">
        <w:rPr>
          <w:rFonts w:ascii="Arial" w:hAnsi="Arial" w:cs="Arial"/>
        </w:rPr>
        <w:t xml:space="preserve">thus, deleted and excluded in this Status.  </w:t>
      </w:r>
      <w:r w:rsidR="00394830">
        <w:rPr>
          <w:rFonts w:ascii="Arial" w:hAnsi="Arial" w:cs="Arial"/>
        </w:rPr>
        <w:t>S</w:t>
      </w:r>
      <w:r w:rsidR="005A7112">
        <w:rPr>
          <w:rFonts w:ascii="Arial" w:hAnsi="Arial" w:cs="Arial"/>
        </w:rPr>
        <w:t>ix</w:t>
      </w:r>
      <w:r w:rsidR="004C4BE5" w:rsidRPr="00B7780F">
        <w:rPr>
          <w:rFonts w:ascii="Arial" w:hAnsi="Arial" w:cs="Arial"/>
        </w:rPr>
        <w:t xml:space="preserve"> were not implemented</w:t>
      </w:r>
      <w:r w:rsidR="00EE5778">
        <w:rPr>
          <w:rFonts w:ascii="Arial" w:hAnsi="Arial" w:cs="Arial"/>
        </w:rPr>
        <w:t xml:space="preserve">; </w:t>
      </w:r>
      <w:r w:rsidR="009F4836">
        <w:rPr>
          <w:rFonts w:ascii="Arial" w:hAnsi="Arial" w:cs="Arial"/>
        </w:rPr>
        <w:t>3</w:t>
      </w:r>
      <w:r w:rsidR="001E7AA3">
        <w:rPr>
          <w:rFonts w:ascii="Arial" w:hAnsi="Arial" w:cs="Arial"/>
        </w:rPr>
        <w:t>0</w:t>
      </w:r>
      <w:r w:rsidR="006A2051">
        <w:rPr>
          <w:rFonts w:ascii="Arial" w:hAnsi="Arial" w:cs="Arial"/>
        </w:rPr>
        <w:t xml:space="preserve"> </w:t>
      </w:r>
      <w:r w:rsidR="004C4BE5" w:rsidRPr="00B7780F">
        <w:rPr>
          <w:rFonts w:ascii="Arial" w:hAnsi="Arial" w:cs="Arial"/>
        </w:rPr>
        <w:t xml:space="preserve">were </w:t>
      </w:r>
      <w:r w:rsidR="00542080" w:rsidRPr="00B7780F">
        <w:rPr>
          <w:rFonts w:ascii="Arial" w:hAnsi="Arial" w:cs="Arial"/>
        </w:rPr>
        <w:t>partially implemented</w:t>
      </w:r>
      <w:r w:rsidR="00EE5778">
        <w:rPr>
          <w:rFonts w:ascii="Arial" w:hAnsi="Arial" w:cs="Arial"/>
        </w:rPr>
        <w:t xml:space="preserve">; and </w:t>
      </w:r>
      <w:r w:rsidR="005A7112">
        <w:rPr>
          <w:rFonts w:ascii="Arial" w:hAnsi="Arial" w:cs="Arial"/>
        </w:rPr>
        <w:t>two</w:t>
      </w:r>
      <w:r w:rsidR="00EE5778">
        <w:rPr>
          <w:rFonts w:ascii="Arial" w:hAnsi="Arial" w:cs="Arial"/>
        </w:rPr>
        <w:t xml:space="preserve"> w</w:t>
      </w:r>
      <w:r w:rsidR="005A7112">
        <w:rPr>
          <w:rFonts w:ascii="Arial" w:hAnsi="Arial" w:cs="Arial"/>
        </w:rPr>
        <w:t>ere</w:t>
      </w:r>
      <w:r w:rsidR="00EE5778">
        <w:rPr>
          <w:rFonts w:ascii="Arial" w:hAnsi="Arial" w:cs="Arial"/>
        </w:rPr>
        <w:t xml:space="preserve"> revised and reformulated to be more specific, measurable and doable</w:t>
      </w:r>
      <w:r w:rsidR="009F4836">
        <w:rPr>
          <w:rFonts w:ascii="Arial" w:hAnsi="Arial" w:cs="Arial"/>
        </w:rPr>
        <w:t xml:space="preserve">, </w:t>
      </w:r>
      <w:r w:rsidR="004C4BE5" w:rsidRPr="00B7780F">
        <w:rPr>
          <w:rFonts w:ascii="Arial" w:hAnsi="Arial" w:cs="Arial"/>
        </w:rPr>
        <w:t>as follows:</w:t>
      </w:r>
    </w:p>
    <w:bookmarkEnd w:id="1"/>
    <w:p w14:paraId="50E45BD4" w14:textId="77777777" w:rsidR="0031087B" w:rsidRDefault="0031087B" w:rsidP="008B618D">
      <w:pPr>
        <w:spacing w:after="0" w:line="240" w:lineRule="auto"/>
        <w:rPr>
          <w:rFonts w:ascii="Arial" w:hAnsi="Arial" w:cs="Arial"/>
        </w:rPr>
      </w:pPr>
    </w:p>
    <w:tbl>
      <w:tblPr>
        <w:tblW w:w="9000" w:type="dxa"/>
        <w:tblInd w:w="-90" w:type="dxa"/>
        <w:tblLayout w:type="fixed"/>
        <w:tblLook w:val="04A0" w:firstRow="1" w:lastRow="0" w:firstColumn="1" w:lastColumn="0" w:noHBand="0" w:noVBand="1"/>
      </w:tblPr>
      <w:tblGrid>
        <w:gridCol w:w="5199"/>
        <w:gridCol w:w="3801"/>
      </w:tblGrid>
      <w:tr w:rsidR="007758CC" w:rsidRPr="00000A5C" w14:paraId="20BAF122" w14:textId="77777777" w:rsidTr="00C24152">
        <w:trPr>
          <w:trHeight w:val="395"/>
          <w:tblHeader/>
        </w:trPr>
        <w:tc>
          <w:tcPr>
            <w:tcW w:w="5199" w:type="dxa"/>
            <w:tcBorders>
              <w:top w:val="single" w:sz="4" w:space="0" w:color="auto"/>
              <w:bottom w:val="single" w:sz="4" w:space="0" w:color="auto"/>
            </w:tcBorders>
            <w:vAlign w:val="center"/>
          </w:tcPr>
          <w:p w14:paraId="63A3BF76" w14:textId="77777777" w:rsidR="007758CC" w:rsidRPr="00000A5C" w:rsidRDefault="00331FE1" w:rsidP="00AE683B">
            <w:pPr>
              <w:pStyle w:val="NoSpacing"/>
              <w:ind w:left="-105"/>
              <w:jc w:val="left"/>
              <w:rPr>
                <w:rFonts w:ascii="Arial" w:hAnsi="Arial" w:cs="Arial"/>
                <w:b/>
              </w:rPr>
            </w:pPr>
            <w:r>
              <w:rPr>
                <w:rFonts w:ascii="Arial" w:hAnsi="Arial" w:cs="Arial"/>
                <w:b/>
              </w:rPr>
              <w:t>Observations and Recommendations</w:t>
            </w:r>
          </w:p>
        </w:tc>
        <w:tc>
          <w:tcPr>
            <w:tcW w:w="3801" w:type="dxa"/>
            <w:tcBorders>
              <w:top w:val="single" w:sz="4" w:space="0" w:color="auto"/>
              <w:bottom w:val="single" w:sz="4" w:space="0" w:color="auto"/>
            </w:tcBorders>
            <w:vAlign w:val="center"/>
          </w:tcPr>
          <w:p w14:paraId="1BF4FDD7" w14:textId="77777777" w:rsidR="007758CC" w:rsidRPr="00000A5C" w:rsidRDefault="00331FE1" w:rsidP="00C24152">
            <w:pPr>
              <w:pStyle w:val="NoSpacing"/>
              <w:ind w:right="-108"/>
              <w:jc w:val="right"/>
              <w:rPr>
                <w:rFonts w:ascii="Arial" w:hAnsi="Arial" w:cs="Arial"/>
                <w:b/>
              </w:rPr>
            </w:pPr>
            <w:r>
              <w:rPr>
                <w:rFonts w:ascii="Arial" w:hAnsi="Arial" w:cs="Arial"/>
                <w:b/>
              </w:rPr>
              <w:t>Action Taken/Comments</w:t>
            </w:r>
          </w:p>
        </w:tc>
      </w:tr>
      <w:tr w:rsidR="00E0296C" w:rsidRPr="0035547E" w14:paraId="618F6AA0" w14:textId="77777777" w:rsidTr="00C24152">
        <w:trPr>
          <w:trHeight w:val="480"/>
        </w:trPr>
        <w:tc>
          <w:tcPr>
            <w:tcW w:w="5199" w:type="dxa"/>
            <w:tcBorders>
              <w:top w:val="single" w:sz="4" w:space="0" w:color="auto"/>
            </w:tcBorders>
          </w:tcPr>
          <w:p w14:paraId="3EC15887" w14:textId="77777777" w:rsidR="00E0296C" w:rsidRDefault="00E0296C" w:rsidP="00E0296C">
            <w:pPr>
              <w:pStyle w:val="NoSpacing"/>
              <w:spacing w:line="240" w:lineRule="auto"/>
              <w:ind w:left="-105"/>
              <w:rPr>
                <w:rFonts w:ascii="Arial" w:hAnsi="Arial" w:cs="Arial"/>
                <w:b/>
                <w:u w:val="single"/>
              </w:rPr>
            </w:pPr>
            <w:r>
              <w:rPr>
                <w:rFonts w:ascii="Arial" w:hAnsi="Arial" w:cs="Arial"/>
                <w:b/>
                <w:u w:val="single"/>
              </w:rPr>
              <w:t>CY 2018 AAR</w:t>
            </w:r>
          </w:p>
          <w:p w14:paraId="1A6E0F35" w14:textId="77777777" w:rsidR="00E0296C" w:rsidRDefault="00E0296C" w:rsidP="00E0296C">
            <w:pPr>
              <w:pStyle w:val="NoSpacing"/>
              <w:spacing w:line="240" w:lineRule="auto"/>
              <w:ind w:left="-105"/>
              <w:rPr>
                <w:rFonts w:ascii="Arial" w:hAnsi="Arial" w:cs="Arial"/>
                <w:b/>
                <w:u w:val="single"/>
              </w:rPr>
            </w:pPr>
          </w:p>
          <w:p w14:paraId="0B4A27C5" w14:textId="148D9C2A" w:rsidR="00E0296C" w:rsidRDefault="00E0296C" w:rsidP="00E5412F">
            <w:pPr>
              <w:pStyle w:val="NoSpacing"/>
              <w:numPr>
                <w:ilvl w:val="0"/>
                <w:numId w:val="21"/>
              </w:numPr>
              <w:tabs>
                <w:tab w:val="left" w:pos="362"/>
              </w:tabs>
              <w:spacing w:line="240" w:lineRule="auto"/>
              <w:ind w:left="-120" w:firstLine="0"/>
              <w:rPr>
                <w:rFonts w:ascii="Arial" w:hAnsi="Arial" w:cs="Arial"/>
                <w:bCs/>
                <w:color w:val="000000" w:themeColor="text1"/>
              </w:rPr>
            </w:pPr>
            <w:bookmarkStart w:id="2" w:name="_Hlk5713903"/>
            <w:bookmarkStart w:id="3" w:name="_Hlk11350692"/>
            <w:r w:rsidRPr="00E0296C">
              <w:rPr>
                <w:rFonts w:ascii="Arial" w:hAnsi="Arial" w:cs="Arial"/>
                <w:bCs/>
                <w:color w:val="000000" w:themeColor="text1"/>
                <w:lang w:val="en-GB"/>
              </w:rPr>
              <w:t xml:space="preserve">The net amount of Receivables and Other Current and Non-Current Assets accounts were overstated and the Allowance for Impairment Losses was understated by an aggregate amount of P130.495 million and P137.119 million as of December 31, 2018 and 2017, respectively, contrary to NTA's policy on the measurement and revaluation of Receivables. </w:t>
            </w:r>
            <w:r w:rsidRPr="00E0296C">
              <w:rPr>
                <w:rFonts w:ascii="Arial" w:hAnsi="Arial" w:cs="Arial"/>
                <w:bCs/>
                <w:color w:val="000000" w:themeColor="text1"/>
              </w:rPr>
              <w:t>The reliability and recoverability of dormant asset accounts aggregating P381.425 million, representing 32.23 per cent of the total asset balance of P1.183 billion as at December 31, 2018 are uncertain due to: (a) undocumented balances carried over from seven defunct tobacco agencies in 1987; (b)</w:t>
            </w:r>
            <w:r w:rsidR="00BA3589">
              <w:rPr>
                <w:rFonts w:ascii="Arial" w:hAnsi="Arial" w:cs="Arial"/>
                <w:bCs/>
                <w:color w:val="000000" w:themeColor="text1"/>
              </w:rPr>
              <w:t xml:space="preserve"> </w:t>
            </w:r>
            <w:r w:rsidRPr="00E0296C">
              <w:rPr>
                <w:rFonts w:ascii="Arial" w:hAnsi="Arial" w:cs="Arial"/>
                <w:bCs/>
                <w:color w:val="000000" w:themeColor="text1"/>
              </w:rPr>
              <w:t>outstanding</w:t>
            </w:r>
            <w:r w:rsidR="003D5A0F">
              <w:rPr>
                <w:rFonts w:ascii="Arial" w:hAnsi="Arial" w:cs="Arial"/>
                <w:bCs/>
                <w:color w:val="000000" w:themeColor="text1"/>
              </w:rPr>
              <w:t xml:space="preserve"> </w:t>
            </w:r>
            <w:r w:rsidRPr="00E0296C">
              <w:rPr>
                <w:rFonts w:ascii="Arial" w:hAnsi="Arial" w:cs="Arial"/>
                <w:bCs/>
                <w:color w:val="000000" w:themeColor="text1"/>
              </w:rPr>
              <w:t>receivables from farmers/</w:t>
            </w:r>
            <w:r w:rsidR="00BF3A1A">
              <w:rPr>
                <w:rFonts w:ascii="Arial" w:hAnsi="Arial" w:cs="Arial"/>
                <w:bCs/>
                <w:color w:val="000000" w:themeColor="text1"/>
              </w:rPr>
              <w:t xml:space="preserve"> </w:t>
            </w:r>
            <w:r w:rsidRPr="00E0296C">
              <w:rPr>
                <w:rFonts w:ascii="Arial" w:hAnsi="Arial" w:cs="Arial"/>
                <w:bCs/>
                <w:color w:val="000000" w:themeColor="text1"/>
              </w:rPr>
              <w:t xml:space="preserve">traders/cooperatives since 1996; (c) unrecovered investment in bonds with certification from the Securities and Exchange Commission (SEC) that the authority of the traders of the bonds were already revoked; and (d) receivables from officers and employees no longer in the service.  Thus, the fair view of the presentation of the assets in the financial </w:t>
            </w:r>
            <w:bookmarkEnd w:id="2"/>
            <w:r w:rsidRPr="00E0296C">
              <w:rPr>
                <w:rFonts w:ascii="Arial" w:hAnsi="Arial" w:cs="Arial"/>
                <w:bCs/>
                <w:color w:val="000000" w:themeColor="text1"/>
              </w:rPr>
              <w:t>statements is adversely affected.</w:t>
            </w:r>
          </w:p>
          <w:p w14:paraId="36E456EE" w14:textId="77777777" w:rsidR="00E0296C" w:rsidRDefault="00E0296C" w:rsidP="00E0296C">
            <w:pPr>
              <w:pStyle w:val="NoSpacing"/>
              <w:spacing w:line="240" w:lineRule="auto"/>
              <w:rPr>
                <w:rFonts w:ascii="Arial" w:hAnsi="Arial" w:cs="Arial"/>
                <w:bCs/>
                <w:color w:val="000000" w:themeColor="text1"/>
              </w:rPr>
            </w:pPr>
            <w:bookmarkStart w:id="4" w:name="_Hlk6422080"/>
          </w:p>
          <w:p w14:paraId="70E7C24C" w14:textId="26BA72B0" w:rsidR="00E0296C" w:rsidRPr="00E0296C" w:rsidRDefault="00E0296C" w:rsidP="00E0296C">
            <w:pPr>
              <w:pStyle w:val="NoSpacing"/>
              <w:spacing w:line="240" w:lineRule="auto"/>
              <w:ind w:left="-120"/>
              <w:rPr>
                <w:rFonts w:ascii="Arial" w:hAnsi="Arial" w:cs="Arial"/>
                <w:bCs/>
                <w:color w:val="0D0D0D"/>
              </w:rPr>
            </w:pPr>
            <w:r w:rsidRPr="00E0296C">
              <w:rPr>
                <w:rFonts w:ascii="Arial" w:hAnsi="Arial" w:cs="Arial"/>
                <w:bCs/>
              </w:rPr>
              <w:t>We reiterated and updated our previous years’ audit recommendations that Management require the:</w:t>
            </w:r>
          </w:p>
          <w:p w14:paraId="0615D5A6" w14:textId="77777777" w:rsidR="00E0296C" w:rsidRPr="00E0296C" w:rsidRDefault="00E0296C" w:rsidP="00E0296C">
            <w:pPr>
              <w:pStyle w:val="NoSpacing"/>
              <w:rPr>
                <w:rFonts w:ascii="Arial" w:hAnsi="Arial" w:cs="Arial"/>
                <w:bCs/>
              </w:rPr>
            </w:pPr>
          </w:p>
          <w:p w14:paraId="0EB1F47C" w14:textId="77777777" w:rsidR="00E0296C" w:rsidRPr="00E0296C" w:rsidRDefault="00E0296C" w:rsidP="0036058F">
            <w:pPr>
              <w:pStyle w:val="NoSpacing"/>
              <w:tabs>
                <w:tab w:val="left" w:pos="362"/>
              </w:tabs>
              <w:ind w:left="-120" w:right="-7"/>
              <w:rPr>
                <w:rFonts w:ascii="Arial" w:hAnsi="Arial" w:cs="Arial"/>
                <w:bCs/>
              </w:rPr>
            </w:pPr>
            <w:bookmarkStart w:id="5" w:name="_Hlk6422660"/>
            <w:r w:rsidRPr="00E0296C">
              <w:rPr>
                <w:rFonts w:ascii="Arial" w:hAnsi="Arial" w:cs="Arial"/>
                <w:bCs/>
              </w:rPr>
              <w:t>a.</w:t>
            </w:r>
            <w:r w:rsidRPr="00E0296C">
              <w:rPr>
                <w:rFonts w:ascii="Arial" w:hAnsi="Arial" w:cs="Arial"/>
                <w:bCs/>
              </w:rPr>
              <w:tab/>
              <w:t>Head/Branch Offices’ Accountants to</w:t>
            </w:r>
            <w:r w:rsidR="00807DE0">
              <w:rPr>
                <w:rFonts w:ascii="Arial" w:hAnsi="Arial" w:cs="Arial"/>
                <w:bCs/>
              </w:rPr>
              <w:t xml:space="preserve"> </w:t>
            </w:r>
            <w:bookmarkStart w:id="6" w:name="_Hlk11340572"/>
            <w:r w:rsidR="00807DE0">
              <w:rPr>
                <w:rFonts w:ascii="Arial" w:hAnsi="Arial" w:cs="Arial"/>
                <w:bCs/>
              </w:rPr>
              <w:t>r</w:t>
            </w:r>
            <w:r w:rsidRPr="00E0296C">
              <w:rPr>
                <w:rFonts w:ascii="Arial" w:hAnsi="Arial" w:cs="Arial"/>
                <w:bCs/>
              </w:rPr>
              <w:t>ecompute and adjust the Allowance for Impairment Losses to fairly present the Receivables and Other Assets accounts in the financial statements and to comply with the NTA policy on impairment losses;</w:t>
            </w:r>
          </w:p>
          <w:bookmarkEnd w:id="6"/>
          <w:p w14:paraId="4D0553D6" w14:textId="77777777" w:rsidR="009F4836" w:rsidRDefault="009F4836" w:rsidP="00C24152">
            <w:pPr>
              <w:pStyle w:val="NoSpacing"/>
              <w:rPr>
                <w:rFonts w:ascii="Arial" w:hAnsi="Arial" w:cs="Arial"/>
                <w:bCs/>
              </w:rPr>
            </w:pPr>
          </w:p>
          <w:p w14:paraId="4292DF04" w14:textId="12EBFC38" w:rsidR="00E0296C" w:rsidRPr="00E0296C" w:rsidRDefault="00E0296C" w:rsidP="00BC7B11">
            <w:pPr>
              <w:pStyle w:val="NoSpacing"/>
              <w:tabs>
                <w:tab w:val="left" w:pos="362"/>
              </w:tabs>
              <w:ind w:left="-120" w:right="-7"/>
              <w:rPr>
                <w:rFonts w:ascii="Arial" w:hAnsi="Arial" w:cs="Arial"/>
                <w:bCs/>
              </w:rPr>
            </w:pPr>
            <w:r w:rsidRPr="00E0296C">
              <w:rPr>
                <w:rFonts w:ascii="Arial" w:hAnsi="Arial" w:cs="Arial"/>
                <w:bCs/>
              </w:rPr>
              <w:t>b.</w:t>
            </w:r>
            <w:r w:rsidRPr="00E0296C">
              <w:rPr>
                <w:rFonts w:ascii="Arial" w:hAnsi="Arial" w:cs="Arial"/>
                <w:bCs/>
              </w:rPr>
              <w:tab/>
              <w:t>Legal Officer to</w:t>
            </w:r>
            <w:r w:rsidR="00AE72B3">
              <w:rPr>
                <w:rFonts w:ascii="Arial" w:hAnsi="Arial" w:cs="Arial"/>
                <w:bCs/>
              </w:rPr>
              <w:t xml:space="preserve"> c</w:t>
            </w:r>
            <w:r w:rsidRPr="00E0296C">
              <w:rPr>
                <w:rFonts w:ascii="Arial" w:hAnsi="Arial" w:cs="Arial"/>
                <w:bCs/>
              </w:rPr>
              <w:t>omplete the documents of the Investment in Bonds amounting to P28.634 million including the efforts exerted to recover the proceeds of the bonds; and</w:t>
            </w:r>
          </w:p>
          <w:p w14:paraId="1782686F" w14:textId="77777777" w:rsidR="00E0296C" w:rsidRDefault="00E0296C" w:rsidP="001D6CCE">
            <w:pPr>
              <w:pStyle w:val="NoSpacing"/>
              <w:ind w:left="-110"/>
              <w:rPr>
                <w:rFonts w:ascii="Arial" w:hAnsi="Arial" w:cs="Arial"/>
                <w:bCs/>
              </w:rPr>
            </w:pPr>
          </w:p>
          <w:p w14:paraId="00ED24D9" w14:textId="57C6B599" w:rsidR="004C4BCE" w:rsidRDefault="004C4BCE" w:rsidP="001D6CCE">
            <w:pPr>
              <w:pStyle w:val="NoSpacing"/>
              <w:ind w:left="-110"/>
              <w:rPr>
                <w:rFonts w:ascii="Arial" w:hAnsi="Arial" w:cs="Arial"/>
                <w:bCs/>
              </w:rPr>
            </w:pPr>
          </w:p>
          <w:p w14:paraId="24AB46FD" w14:textId="77777777" w:rsidR="004C4BCE" w:rsidRDefault="004C4BCE" w:rsidP="001D6CCE">
            <w:pPr>
              <w:pStyle w:val="NoSpacing"/>
              <w:ind w:left="-110"/>
              <w:rPr>
                <w:rFonts w:ascii="Arial" w:hAnsi="Arial" w:cs="Arial"/>
                <w:bCs/>
              </w:rPr>
            </w:pPr>
          </w:p>
          <w:p w14:paraId="59CF2D8E" w14:textId="77777777" w:rsidR="004C4BCE" w:rsidRDefault="004C4BCE" w:rsidP="001D6CCE">
            <w:pPr>
              <w:pStyle w:val="NoSpacing"/>
              <w:ind w:left="-110"/>
              <w:rPr>
                <w:rFonts w:ascii="Arial" w:hAnsi="Arial" w:cs="Arial"/>
                <w:bCs/>
              </w:rPr>
            </w:pPr>
          </w:p>
          <w:p w14:paraId="7C13772A" w14:textId="77777777" w:rsidR="004C4BCE" w:rsidRDefault="004C4BCE" w:rsidP="001D6CCE">
            <w:pPr>
              <w:pStyle w:val="NoSpacing"/>
              <w:ind w:left="-110"/>
              <w:rPr>
                <w:rFonts w:ascii="Arial" w:hAnsi="Arial" w:cs="Arial"/>
                <w:bCs/>
              </w:rPr>
            </w:pPr>
          </w:p>
          <w:p w14:paraId="11CF6EDC" w14:textId="77777777" w:rsidR="004C4BCE" w:rsidRDefault="004C4BCE" w:rsidP="001D6CCE">
            <w:pPr>
              <w:pStyle w:val="NoSpacing"/>
              <w:ind w:left="-110"/>
              <w:rPr>
                <w:rFonts w:ascii="Arial" w:hAnsi="Arial" w:cs="Arial"/>
                <w:bCs/>
              </w:rPr>
            </w:pPr>
          </w:p>
          <w:p w14:paraId="059CA498" w14:textId="77777777" w:rsidR="0090337A" w:rsidRDefault="0090337A" w:rsidP="001D6CCE">
            <w:pPr>
              <w:pStyle w:val="NoSpacing"/>
              <w:ind w:left="-110"/>
              <w:rPr>
                <w:rFonts w:ascii="Arial" w:hAnsi="Arial" w:cs="Arial"/>
                <w:bCs/>
              </w:rPr>
            </w:pPr>
          </w:p>
          <w:p w14:paraId="405586F9" w14:textId="77777777" w:rsidR="00547EF1" w:rsidRDefault="00547EF1" w:rsidP="001D6CCE">
            <w:pPr>
              <w:pStyle w:val="NoSpacing"/>
              <w:ind w:left="-110"/>
              <w:rPr>
                <w:rFonts w:ascii="Arial" w:hAnsi="Arial" w:cs="Arial"/>
                <w:bCs/>
              </w:rPr>
            </w:pPr>
          </w:p>
          <w:p w14:paraId="09868265" w14:textId="6BC4AE9E" w:rsidR="0086238C" w:rsidRDefault="00E0296C" w:rsidP="00BC7B11">
            <w:pPr>
              <w:pStyle w:val="NoSpacing"/>
              <w:tabs>
                <w:tab w:val="left" w:pos="362"/>
              </w:tabs>
              <w:ind w:left="-120" w:right="-7"/>
              <w:rPr>
                <w:rFonts w:ascii="Arial" w:hAnsi="Arial" w:cs="Arial"/>
                <w:bCs/>
              </w:rPr>
            </w:pPr>
            <w:r w:rsidRPr="00E0296C">
              <w:rPr>
                <w:rFonts w:ascii="Arial" w:hAnsi="Arial" w:cs="Arial"/>
                <w:bCs/>
              </w:rPr>
              <w:t>c.</w:t>
            </w:r>
            <w:r w:rsidRPr="00E0296C">
              <w:rPr>
                <w:rFonts w:ascii="Arial" w:hAnsi="Arial" w:cs="Arial"/>
                <w:bCs/>
              </w:rPr>
              <w:tab/>
              <w:t>Concerned Branch Managers to make representations with</w:t>
            </w:r>
            <w:r>
              <w:rPr>
                <w:rFonts w:ascii="Arial" w:hAnsi="Arial" w:cs="Arial"/>
                <w:bCs/>
              </w:rPr>
              <w:t xml:space="preserve"> </w:t>
            </w:r>
            <w:r w:rsidRPr="00E0296C">
              <w:rPr>
                <w:rFonts w:ascii="Arial" w:hAnsi="Arial" w:cs="Arial"/>
                <w:bCs/>
              </w:rPr>
              <w:t xml:space="preserve">the </w:t>
            </w:r>
            <w:r w:rsidR="00111895">
              <w:rPr>
                <w:rFonts w:ascii="Arial" w:hAnsi="Arial" w:cs="Arial"/>
                <w:bCs/>
              </w:rPr>
              <w:t>Department of Environment and Natural Resources (</w:t>
            </w:r>
            <w:r w:rsidRPr="00E0296C">
              <w:rPr>
                <w:rFonts w:ascii="Arial" w:hAnsi="Arial" w:cs="Arial"/>
                <w:bCs/>
              </w:rPr>
              <w:t>DENR</w:t>
            </w:r>
            <w:r w:rsidR="00111895">
              <w:rPr>
                <w:rFonts w:ascii="Arial" w:hAnsi="Arial" w:cs="Arial"/>
                <w:bCs/>
              </w:rPr>
              <w:t xml:space="preserve">) </w:t>
            </w:r>
            <w:r w:rsidRPr="00E0296C">
              <w:rPr>
                <w:rFonts w:ascii="Arial" w:hAnsi="Arial" w:cs="Arial"/>
                <w:bCs/>
              </w:rPr>
              <w:t>for the possible transfer of the reforestation project sites</w:t>
            </w:r>
            <w:r w:rsidR="00111895">
              <w:rPr>
                <w:rFonts w:ascii="Arial" w:hAnsi="Arial" w:cs="Arial"/>
                <w:bCs/>
              </w:rPr>
              <w:t xml:space="preserve"> </w:t>
            </w:r>
            <w:r w:rsidRPr="00E0296C">
              <w:rPr>
                <w:rFonts w:ascii="Arial" w:hAnsi="Arial" w:cs="Arial"/>
                <w:bCs/>
              </w:rPr>
              <w:t xml:space="preserve">to the local government units and its derecognition from the books of </w:t>
            </w:r>
            <w:r>
              <w:rPr>
                <w:rFonts w:ascii="Arial" w:hAnsi="Arial" w:cs="Arial"/>
                <w:bCs/>
              </w:rPr>
              <w:t>N</w:t>
            </w:r>
            <w:r w:rsidRPr="00E0296C">
              <w:rPr>
                <w:rFonts w:ascii="Arial" w:hAnsi="Arial" w:cs="Arial"/>
                <w:bCs/>
              </w:rPr>
              <w:t>TA; and</w:t>
            </w:r>
          </w:p>
          <w:p w14:paraId="0D9D0AE4" w14:textId="77777777" w:rsidR="0086238C" w:rsidRPr="00C24152" w:rsidRDefault="0086238C" w:rsidP="00BC7B11">
            <w:pPr>
              <w:pStyle w:val="NoSpacing"/>
              <w:rPr>
                <w:rFonts w:ascii="Arial" w:hAnsi="Arial" w:cs="Arial"/>
                <w:bCs/>
                <w:sz w:val="20"/>
                <w:szCs w:val="20"/>
              </w:rPr>
            </w:pPr>
          </w:p>
          <w:p w14:paraId="5CB77BA8" w14:textId="547415A9" w:rsidR="0086238C" w:rsidRDefault="00E0296C" w:rsidP="00BC7B11">
            <w:pPr>
              <w:pStyle w:val="NoSpacing"/>
              <w:tabs>
                <w:tab w:val="left" w:pos="362"/>
              </w:tabs>
              <w:ind w:left="-120" w:right="-7"/>
              <w:rPr>
                <w:rFonts w:ascii="Arial" w:hAnsi="Arial" w:cs="Arial"/>
                <w:bCs/>
              </w:rPr>
            </w:pPr>
            <w:r w:rsidRPr="00E0296C">
              <w:rPr>
                <w:rFonts w:ascii="Arial" w:hAnsi="Arial" w:cs="Arial"/>
                <w:bCs/>
              </w:rPr>
              <w:t>d.</w:t>
            </w:r>
            <w:r w:rsidRPr="00E0296C">
              <w:rPr>
                <w:rFonts w:ascii="Arial" w:hAnsi="Arial" w:cs="Arial"/>
                <w:bCs/>
              </w:rPr>
              <w:tab/>
              <w:t>The responsible NTA officials to document all the efforts to collect and settle the dormant accounts to support the request for authority to write off the accounts to COA for those that are still not recovered</w:t>
            </w:r>
            <w:r>
              <w:rPr>
                <w:rFonts w:ascii="Arial" w:hAnsi="Arial" w:cs="Arial"/>
                <w:bCs/>
              </w:rPr>
              <w:t xml:space="preserve"> </w:t>
            </w:r>
            <w:r w:rsidRPr="00E0296C">
              <w:rPr>
                <w:rFonts w:ascii="Arial" w:hAnsi="Arial" w:cs="Arial"/>
                <w:bCs/>
              </w:rPr>
              <w:t>after exhausting all possible remedies in accordance with COA Circular No. 2016-005.</w:t>
            </w:r>
          </w:p>
          <w:bookmarkEnd w:id="3"/>
          <w:bookmarkEnd w:id="4"/>
          <w:bookmarkEnd w:id="5"/>
          <w:p w14:paraId="060FCA08" w14:textId="77777777" w:rsidR="00E0296C" w:rsidRPr="00C24152" w:rsidRDefault="00E0296C" w:rsidP="00C42A3E">
            <w:pPr>
              <w:pStyle w:val="NoSpacing"/>
              <w:spacing w:line="240" w:lineRule="auto"/>
              <w:ind w:left="-105"/>
              <w:rPr>
                <w:rFonts w:ascii="Arial" w:hAnsi="Arial" w:cs="Arial"/>
                <w:b/>
                <w:sz w:val="20"/>
                <w:szCs w:val="20"/>
                <w:u w:val="single"/>
              </w:rPr>
            </w:pPr>
          </w:p>
        </w:tc>
        <w:tc>
          <w:tcPr>
            <w:tcW w:w="3801" w:type="dxa"/>
            <w:tcBorders>
              <w:top w:val="single" w:sz="4" w:space="0" w:color="auto"/>
            </w:tcBorders>
          </w:tcPr>
          <w:p w14:paraId="26C63AE6" w14:textId="77777777" w:rsidR="00E0296C" w:rsidRDefault="00E0296C" w:rsidP="009A4FEC">
            <w:pPr>
              <w:pStyle w:val="NoSpacing"/>
              <w:spacing w:line="240" w:lineRule="auto"/>
              <w:ind w:left="25" w:right="-108"/>
              <w:rPr>
                <w:rFonts w:ascii="Arial" w:hAnsi="Arial" w:cs="Arial"/>
              </w:rPr>
            </w:pPr>
          </w:p>
          <w:p w14:paraId="1DCE408E" w14:textId="77777777" w:rsidR="004C4BCE" w:rsidRDefault="004C4BCE" w:rsidP="009A4FEC">
            <w:pPr>
              <w:pStyle w:val="NoSpacing"/>
              <w:spacing w:line="240" w:lineRule="auto"/>
              <w:ind w:left="25" w:right="-108"/>
              <w:rPr>
                <w:rFonts w:ascii="Arial" w:hAnsi="Arial" w:cs="Arial"/>
              </w:rPr>
            </w:pPr>
          </w:p>
          <w:p w14:paraId="0C8F4781" w14:textId="77777777" w:rsidR="004C4BCE" w:rsidRDefault="004C4BCE" w:rsidP="009A4FEC">
            <w:pPr>
              <w:pStyle w:val="NoSpacing"/>
              <w:spacing w:line="240" w:lineRule="auto"/>
              <w:ind w:left="25" w:right="-108"/>
              <w:rPr>
                <w:rFonts w:ascii="Arial" w:hAnsi="Arial" w:cs="Arial"/>
              </w:rPr>
            </w:pPr>
          </w:p>
          <w:p w14:paraId="6FB6D103" w14:textId="77777777" w:rsidR="004C4BCE" w:rsidRDefault="004C4BCE" w:rsidP="009A4FEC">
            <w:pPr>
              <w:pStyle w:val="NoSpacing"/>
              <w:spacing w:line="240" w:lineRule="auto"/>
              <w:ind w:left="25" w:right="-108"/>
              <w:rPr>
                <w:rFonts w:ascii="Arial" w:hAnsi="Arial" w:cs="Arial"/>
              </w:rPr>
            </w:pPr>
          </w:p>
          <w:p w14:paraId="537D6649" w14:textId="77777777" w:rsidR="004C4BCE" w:rsidRDefault="004C4BCE" w:rsidP="009A4FEC">
            <w:pPr>
              <w:pStyle w:val="NoSpacing"/>
              <w:spacing w:line="240" w:lineRule="auto"/>
              <w:ind w:left="25" w:right="-108"/>
              <w:rPr>
                <w:rFonts w:ascii="Arial" w:hAnsi="Arial" w:cs="Arial"/>
              </w:rPr>
            </w:pPr>
          </w:p>
          <w:p w14:paraId="0CC9E4A6" w14:textId="77777777" w:rsidR="004C4BCE" w:rsidRDefault="004C4BCE" w:rsidP="009A4FEC">
            <w:pPr>
              <w:pStyle w:val="NoSpacing"/>
              <w:spacing w:line="240" w:lineRule="auto"/>
              <w:ind w:left="25" w:right="-108"/>
              <w:rPr>
                <w:rFonts w:ascii="Arial" w:hAnsi="Arial" w:cs="Arial"/>
              </w:rPr>
            </w:pPr>
          </w:p>
          <w:p w14:paraId="38557DE3" w14:textId="77777777" w:rsidR="004C4BCE" w:rsidRDefault="004C4BCE" w:rsidP="009A4FEC">
            <w:pPr>
              <w:pStyle w:val="NoSpacing"/>
              <w:spacing w:line="240" w:lineRule="auto"/>
              <w:ind w:left="25" w:right="-108"/>
              <w:rPr>
                <w:rFonts w:ascii="Arial" w:hAnsi="Arial" w:cs="Arial"/>
              </w:rPr>
            </w:pPr>
          </w:p>
          <w:p w14:paraId="42CB2F2D" w14:textId="77777777" w:rsidR="004C4BCE" w:rsidRDefault="004C4BCE" w:rsidP="009A4FEC">
            <w:pPr>
              <w:pStyle w:val="NoSpacing"/>
              <w:spacing w:line="240" w:lineRule="auto"/>
              <w:ind w:left="25" w:right="-108"/>
              <w:rPr>
                <w:rFonts w:ascii="Arial" w:hAnsi="Arial" w:cs="Arial"/>
              </w:rPr>
            </w:pPr>
          </w:p>
          <w:p w14:paraId="07DDB6A8" w14:textId="77777777" w:rsidR="004C4BCE" w:rsidRDefault="004C4BCE" w:rsidP="009A4FEC">
            <w:pPr>
              <w:pStyle w:val="NoSpacing"/>
              <w:spacing w:line="240" w:lineRule="auto"/>
              <w:ind w:left="25" w:right="-108"/>
              <w:rPr>
                <w:rFonts w:ascii="Arial" w:hAnsi="Arial" w:cs="Arial"/>
              </w:rPr>
            </w:pPr>
          </w:p>
          <w:p w14:paraId="5FB4EE52" w14:textId="77777777" w:rsidR="004C4BCE" w:rsidRDefault="004C4BCE" w:rsidP="009A4FEC">
            <w:pPr>
              <w:pStyle w:val="NoSpacing"/>
              <w:spacing w:line="240" w:lineRule="auto"/>
              <w:ind w:left="25" w:right="-108"/>
              <w:rPr>
                <w:rFonts w:ascii="Arial" w:hAnsi="Arial" w:cs="Arial"/>
              </w:rPr>
            </w:pPr>
          </w:p>
          <w:p w14:paraId="3B27AED5" w14:textId="77777777" w:rsidR="004C4BCE" w:rsidRDefault="004C4BCE" w:rsidP="009A4FEC">
            <w:pPr>
              <w:pStyle w:val="NoSpacing"/>
              <w:spacing w:line="240" w:lineRule="auto"/>
              <w:ind w:left="25" w:right="-108"/>
              <w:rPr>
                <w:rFonts w:ascii="Arial" w:hAnsi="Arial" w:cs="Arial"/>
              </w:rPr>
            </w:pPr>
          </w:p>
          <w:p w14:paraId="7C6B028F" w14:textId="77777777" w:rsidR="004C4BCE" w:rsidRDefault="004C4BCE" w:rsidP="009A4FEC">
            <w:pPr>
              <w:pStyle w:val="NoSpacing"/>
              <w:spacing w:line="240" w:lineRule="auto"/>
              <w:ind w:left="25" w:right="-108"/>
              <w:rPr>
                <w:rFonts w:ascii="Arial" w:hAnsi="Arial" w:cs="Arial"/>
              </w:rPr>
            </w:pPr>
          </w:p>
          <w:p w14:paraId="304E1858" w14:textId="77777777" w:rsidR="00C14232" w:rsidRDefault="00C14232" w:rsidP="009A4FEC">
            <w:pPr>
              <w:pStyle w:val="NoSpacing"/>
              <w:spacing w:line="240" w:lineRule="auto"/>
              <w:ind w:left="25" w:right="-108"/>
              <w:rPr>
                <w:rFonts w:ascii="Arial" w:hAnsi="Arial" w:cs="Arial"/>
              </w:rPr>
            </w:pPr>
          </w:p>
          <w:p w14:paraId="3F08AD21" w14:textId="77777777" w:rsidR="00C14232" w:rsidRDefault="00C14232" w:rsidP="009A4FEC">
            <w:pPr>
              <w:pStyle w:val="NoSpacing"/>
              <w:spacing w:line="240" w:lineRule="auto"/>
              <w:ind w:left="25" w:right="-108"/>
              <w:rPr>
                <w:rFonts w:ascii="Arial" w:hAnsi="Arial" w:cs="Arial"/>
              </w:rPr>
            </w:pPr>
          </w:p>
          <w:p w14:paraId="4AE69791" w14:textId="77777777" w:rsidR="00C14232" w:rsidRDefault="00C14232" w:rsidP="009A4FEC">
            <w:pPr>
              <w:pStyle w:val="NoSpacing"/>
              <w:spacing w:line="240" w:lineRule="auto"/>
              <w:ind w:left="25" w:right="-108"/>
              <w:rPr>
                <w:rFonts w:ascii="Arial" w:hAnsi="Arial" w:cs="Arial"/>
              </w:rPr>
            </w:pPr>
          </w:p>
          <w:p w14:paraId="0B516195" w14:textId="77777777" w:rsidR="00C14232" w:rsidRDefault="00C14232" w:rsidP="009A4FEC">
            <w:pPr>
              <w:pStyle w:val="NoSpacing"/>
              <w:spacing w:line="240" w:lineRule="auto"/>
              <w:ind w:left="25" w:right="-108"/>
              <w:rPr>
                <w:rFonts w:ascii="Arial" w:hAnsi="Arial" w:cs="Arial"/>
              </w:rPr>
            </w:pPr>
          </w:p>
          <w:p w14:paraId="4C1944AE" w14:textId="77777777" w:rsidR="00C14232" w:rsidRDefault="00C14232" w:rsidP="009A4FEC">
            <w:pPr>
              <w:pStyle w:val="NoSpacing"/>
              <w:spacing w:line="240" w:lineRule="auto"/>
              <w:ind w:left="25" w:right="-108"/>
              <w:rPr>
                <w:rFonts w:ascii="Arial" w:hAnsi="Arial" w:cs="Arial"/>
              </w:rPr>
            </w:pPr>
          </w:p>
          <w:p w14:paraId="006C9FDB" w14:textId="77777777" w:rsidR="00C14232" w:rsidRDefault="00C14232" w:rsidP="009A4FEC">
            <w:pPr>
              <w:pStyle w:val="NoSpacing"/>
              <w:spacing w:line="240" w:lineRule="auto"/>
              <w:ind w:left="25" w:right="-108"/>
              <w:rPr>
                <w:rFonts w:ascii="Arial" w:hAnsi="Arial" w:cs="Arial"/>
              </w:rPr>
            </w:pPr>
          </w:p>
          <w:p w14:paraId="623D4376" w14:textId="77777777" w:rsidR="00C14232" w:rsidRDefault="00C14232" w:rsidP="009A4FEC">
            <w:pPr>
              <w:pStyle w:val="NoSpacing"/>
              <w:spacing w:line="240" w:lineRule="auto"/>
              <w:ind w:left="25" w:right="-108"/>
              <w:rPr>
                <w:rFonts w:ascii="Arial" w:hAnsi="Arial" w:cs="Arial"/>
              </w:rPr>
            </w:pPr>
          </w:p>
          <w:p w14:paraId="6351FAD4" w14:textId="77777777" w:rsidR="00C14232" w:rsidRDefault="00C14232" w:rsidP="009A4FEC">
            <w:pPr>
              <w:pStyle w:val="NoSpacing"/>
              <w:spacing w:line="240" w:lineRule="auto"/>
              <w:ind w:left="25" w:right="-108"/>
              <w:rPr>
                <w:rFonts w:ascii="Arial" w:hAnsi="Arial" w:cs="Arial"/>
              </w:rPr>
            </w:pPr>
          </w:p>
          <w:p w14:paraId="5B109113" w14:textId="77777777" w:rsidR="00C14232" w:rsidRDefault="00C14232" w:rsidP="009A4FEC">
            <w:pPr>
              <w:pStyle w:val="NoSpacing"/>
              <w:spacing w:line="240" w:lineRule="auto"/>
              <w:ind w:left="25" w:right="-108"/>
              <w:rPr>
                <w:rFonts w:ascii="Arial" w:hAnsi="Arial" w:cs="Arial"/>
              </w:rPr>
            </w:pPr>
          </w:p>
          <w:p w14:paraId="259A5B9F" w14:textId="77777777" w:rsidR="00C14232" w:rsidRDefault="00C14232" w:rsidP="009A4FEC">
            <w:pPr>
              <w:pStyle w:val="NoSpacing"/>
              <w:spacing w:line="240" w:lineRule="auto"/>
              <w:ind w:left="25" w:right="-108"/>
              <w:rPr>
                <w:rFonts w:ascii="Arial" w:hAnsi="Arial" w:cs="Arial"/>
              </w:rPr>
            </w:pPr>
          </w:p>
          <w:p w14:paraId="2DB9B4CF" w14:textId="77777777" w:rsidR="00C14232" w:rsidRDefault="00C14232" w:rsidP="009A4FEC">
            <w:pPr>
              <w:pStyle w:val="NoSpacing"/>
              <w:spacing w:line="240" w:lineRule="auto"/>
              <w:ind w:left="25" w:right="-108"/>
              <w:rPr>
                <w:rFonts w:ascii="Arial" w:hAnsi="Arial" w:cs="Arial"/>
              </w:rPr>
            </w:pPr>
          </w:p>
          <w:p w14:paraId="485A3F11" w14:textId="77777777" w:rsidR="00C14232" w:rsidRDefault="00C14232" w:rsidP="009A4FEC">
            <w:pPr>
              <w:pStyle w:val="NoSpacing"/>
              <w:spacing w:line="240" w:lineRule="auto"/>
              <w:ind w:left="25" w:right="-108"/>
              <w:rPr>
                <w:rFonts w:ascii="Arial" w:hAnsi="Arial" w:cs="Arial"/>
              </w:rPr>
            </w:pPr>
          </w:p>
          <w:p w14:paraId="49324F29" w14:textId="77777777" w:rsidR="00C14232" w:rsidRDefault="00C14232" w:rsidP="009A4FEC">
            <w:pPr>
              <w:pStyle w:val="NoSpacing"/>
              <w:spacing w:line="240" w:lineRule="auto"/>
              <w:ind w:left="25" w:right="-108"/>
              <w:rPr>
                <w:rFonts w:ascii="Arial" w:hAnsi="Arial" w:cs="Arial"/>
              </w:rPr>
            </w:pPr>
          </w:p>
          <w:p w14:paraId="2A13A586" w14:textId="77777777" w:rsidR="00C14232" w:rsidRDefault="00C14232" w:rsidP="009A4FEC">
            <w:pPr>
              <w:pStyle w:val="NoSpacing"/>
              <w:spacing w:line="240" w:lineRule="auto"/>
              <w:ind w:left="25" w:right="-108"/>
              <w:rPr>
                <w:rFonts w:ascii="Arial" w:hAnsi="Arial" w:cs="Arial"/>
              </w:rPr>
            </w:pPr>
          </w:p>
          <w:p w14:paraId="4EC1C00C" w14:textId="77777777" w:rsidR="00FA1618" w:rsidRDefault="00FA1618" w:rsidP="009A4FEC">
            <w:pPr>
              <w:pStyle w:val="NoSpacing"/>
              <w:spacing w:line="240" w:lineRule="auto"/>
              <w:ind w:left="25" w:right="-108"/>
              <w:rPr>
                <w:rFonts w:ascii="Arial" w:hAnsi="Arial" w:cs="Arial"/>
              </w:rPr>
            </w:pPr>
          </w:p>
          <w:p w14:paraId="38CBD62C" w14:textId="77777777" w:rsidR="0036058F" w:rsidRDefault="0036058F" w:rsidP="00B7780F">
            <w:pPr>
              <w:pStyle w:val="NoSpacing"/>
              <w:spacing w:line="240" w:lineRule="auto"/>
              <w:ind w:right="-108"/>
              <w:rPr>
                <w:rFonts w:ascii="Arial" w:hAnsi="Arial" w:cs="Arial"/>
              </w:rPr>
            </w:pPr>
          </w:p>
          <w:p w14:paraId="7EE43451" w14:textId="67795A72" w:rsidR="00C14232" w:rsidRDefault="00C21E2B" w:rsidP="009A4FEC">
            <w:pPr>
              <w:pStyle w:val="NoSpacing"/>
              <w:ind w:left="25" w:right="-43"/>
              <w:rPr>
                <w:rFonts w:ascii="Arial" w:hAnsi="Arial" w:cs="Arial"/>
              </w:rPr>
            </w:pPr>
            <w:r>
              <w:rPr>
                <w:rFonts w:ascii="Arial" w:hAnsi="Arial" w:cs="Arial"/>
              </w:rPr>
              <w:t>Revised and reformulated in Part II – Observations and Recommendations No. 1 of this Report</w:t>
            </w:r>
            <w:r w:rsidR="0036058F">
              <w:rPr>
                <w:rFonts w:ascii="Arial" w:hAnsi="Arial" w:cs="Arial"/>
              </w:rPr>
              <w:t>.</w:t>
            </w:r>
          </w:p>
          <w:p w14:paraId="13B7FB91" w14:textId="77777777" w:rsidR="00C14232" w:rsidRPr="00C14232" w:rsidRDefault="00C14232" w:rsidP="009A4FEC">
            <w:pPr>
              <w:pStyle w:val="NoSpacing"/>
              <w:ind w:left="25" w:right="-43"/>
              <w:rPr>
                <w:rFonts w:ascii="Arial" w:hAnsi="Arial" w:cs="Arial"/>
              </w:rPr>
            </w:pPr>
          </w:p>
          <w:p w14:paraId="7AEAAD7B" w14:textId="77777777" w:rsidR="001D6CCE" w:rsidRDefault="001D6CCE" w:rsidP="00C24152">
            <w:pPr>
              <w:pStyle w:val="NoSpacing"/>
              <w:spacing w:line="240" w:lineRule="auto"/>
              <w:ind w:right="-108"/>
              <w:rPr>
                <w:rFonts w:ascii="Arial" w:hAnsi="Arial" w:cs="Arial"/>
              </w:rPr>
            </w:pPr>
          </w:p>
          <w:p w14:paraId="79CE8FAB" w14:textId="77777777" w:rsidR="009F4836" w:rsidRPr="00A14272" w:rsidRDefault="009F4836" w:rsidP="00C24152">
            <w:pPr>
              <w:pStyle w:val="NoSpacing"/>
              <w:spacing w:line="240" w:lineRule="auto"/>
              <w:ind w:right="-108"/>
              <w:rPr>
                <w:rFonts w:ascii="Arial" w:hAnsi="Arial" w:cs="Arial"/>
              </w:rPr>
            </w:pPr>
          </w:p>
          <w:p w14:paraId="59B4DBDB" w14:textId="3FA99906" w:rsidR="00A45408" w:rsidRPr="00A14272" w:rsidRDefault="009F4836" w:rsidP="00A45408">
            <w:pPr>
              <w:pStyle w:val="NoSpacing"/>
              <w:spacing w:line="240" w:lineRule="auto"/>
              <w:ind w:right="-108"/>
              <w:rPr>
                <w:rFonts w:ascii="Arial" w:hAnsi="Arial" w:cs="Arial"/>
              </w:rPr>
            </w:pPr>
            <w:r w:rsidRPr="00C24152">
              <w:rPr>
                <w:rFonts w:ascii="Arial" w:hAnsi="Arial" w:cs="Arial"/>
              </w:rPr>
              <w:t>Partially Implemented.</w:t>
            </w:r>
            <w:r w:rsidRPr="00A14272">
              <w:rPr>
                <w:rFonts w:ascii="Arial" w:hAnsi="Arial" w:cs="Arial"/>
              </w:rPr>
              <w:t xml:space="preserve"> </w:t>
            </w:r>
          </w:p>
          <w:p w14:paraId="0A6343FE" w14:textId="77777777" w:rsidR="00C14232" w:rsidRPr="00A14272" w:rsidRDefault="00C14232" w:rsidP="009A4FEC">
            <w:pPr>
              <w:pStyle w:val="NoSpacing"/>
              <w:spacing w:line="240" w:lineRule="auto"/>
              <w:ind w:left="25" w:right="-108"/>
              <w:rPr>
                <w:rFonts w:ascii="Arial" w:hAnsi="Arial" w:cs="Arial"/>
              </w:rPr>
            </w:pPr>
          </w:p>
          <w:p w14:paraId="1D341C2D" w14:textId="4F6DBF6D" w:rsidR="004C4BCE" w:rsidRPr="004C4BCE" w:rsidRDefault="004C4BCE" w:rsidP="009A4FEC">
            <w:pPr>
              <w:pStyle w:val="NoSpacing"/>
              <w:ind w:left="25" w:right="-43"/>
              <w:rPr>
                <w:rFonts w:ascii="Arial" w:hAnsi="Arial" w:cs="Arial"/>
              </w:rPr>
            </w:pPr>
            <w:r w:rsidRPr="00A14272">
              <w:rPr>
                <w:rFonts w:ascii="Arial" w:hAnsi="Arial" w:cs="Arial"/>
              </w:rPr>
              <w:t>Verification with the SEC</w:t>
            </w:r>
            <w:r w:rsidR="00671C15" w:rsidRPr="00A14272">
              <w:rPr>
                <w:rFonts w:ascii="Arial" w:hAnsi="Arial" w:cs="Arial"/>
              </w:rPr>
              <w:t xml:space="preserve"> </w:t>
            </w:r>
            <w:r w:rsidRPr="00A14272">
              <w:rPr>
                <w:rFonts w:ascii="Arial" w:hAnsi="Arial" w:cs="Arial"/>
              </w:rPr>
              <w:t>show</w:t>
            </w:r>
            <w:r w:rsidR="003F7331" w:rsidRPr="00A14272">
              <w:rPr>
                <w:rFonts w:ascii="Arial" w:hAnsi="Arial" w:cs="Arial"/>
              </w:rPr>
              <w:t>ed</w:t>
            </w:r>
            <w:r w:rsidRPr="00A14272">
              <w:rPr>
                <w:rFonts w:ascii="Arial" w:hAnsi="Arial" w:cs="Arial"/>
              </w:rPr>
              <w:t xml:space="preserve"> that the authority of the two companies that traded the bonds have been revoked and their existence delisted.</w:t>
            </w:r>
            <w:r w:rsidRPr="004C4BCE">
              <w:rPr>
                <w:rFonts w:ascii="Arial" w:hAnsi="Arial" w:cs="Arial"/>
              </w:rPr>
              <w:t xml:space="preserve"> </w:t>
            </w:r>
            <w:r w:rsidR="00547EF1">
              <w:rPr>
                <w:rFonts w:ascii="Arial" w:hAnsi="Arial" w:cs="Arial"/>
              </w:rPr>
              <w:t xml:space="preserve">The </w:t>
            </w:r>
            <w:r w:rsidRPr="004C4BCE">
              <w:rPr>
                <w:rFonts w:ascii="Arial" w:hAnsi="Arial" w:cs="Arial"/>
              </w:rPr>
              <w:t xml:space="preserve">Management </w:t>
            </w:r>
            <w:r w:rsidR="00547EF1">
              <w:rPr>
                <w:rFonts w:ascii="Arial" w:hAnsi="Arial" w:cs="Arial"/>
              </w:rPr>
              <w:t xml:space="preserve">informed that they </w:t>
            </w:r>
            <w:r w:rsidRPr="004C4BCE">
              <w:rPr>
                <w:rFonts w:ascii="Arial" w:hAnsi="Arial" w:cs="Arial"/>
              </w:rPr>
              <w:lastRenderedPageBreak/>
              <w:t>will prepare a letter to the Land Bank of the Philippines to inquire on the possibility of recovering the investment.</w:t>
            </w:r>
          </w:p>
          <w:p w14:paraId="1E06A556" w14:textId="77777777" w:rsidR="0086238C" w:rsidRPr="00C24152" w:rsidRDefault="0086238C" w:rsidP="00BC7B11">
            <w:pPr>
              <w:pStyle w:val="NoSpacing"/>
              <w:spacing w:line="240" w:lineRule="auto"/>
              <w:ind w:right="-108"/>
              <w:rPr>
                <w:rFonts w:ascii="Arial" w:hAnsi="Arial" w:cs="Arial"/>
                <w:sz w:val="20"/>
                <w:szCs w:val="20"/>
              </w:rPr>
            </w:pPr>
          </w:p>
          <w:p w14:paraId="00019176" w14:textId="0F90AC3C" w:rsidR="00A45408" w:rsidRPr="00A14272" w:rsidRDefault="009F4836" w:rsidP="00A45408">
            <w:pPr>
              <w:pStyle w:val="NoSpacing"/>
              <w:spacing w:line="240" w:lineRule="auto"/>
              <w:ind w:right="-108"/>
              <w:rPr>
                <w:rFonts w:ascii="Arial" w:hAnsi="Arial" w:cs="Arial"/>
              </w:rPr>
            </w:pPr>
            <w:r w:rsidRPr="00C24152">
              <w:rPr>
                <w:rFonts w:ascii="Arial" w:hAnsi="Arial" w:cs="Arial"/>
              </w:rPr>
              <w:t>Partially Implemented</w:t>
            </w:r>
            <w:r w:rsidRPr="00A14272">
              <w:rPr>
                <w:rFonts w:ascii="Arial" w:hAnsi="Arial" w:cs="Arial"/>
              </w:rPr>
              <w:t xml:space="preserve">. </w:t>
            </w:r>
          </w:p>
          <w:p w14:paraId="57361EB4" w14:textId="77777777" w:rsidR="004C4BCE" w:rsidRPr="00A14272" w:rsidRDefault="004C4BCE" w:rsidP="009A4FEC">
            <w:pPr>
              <w:pStyle w:val="NoSpacing"/>
              <w:spacing w:line="240" w:lineRule="auto"/>
              <w:ind w:left="25" w:right="-108"/>
              <w:rPr>
                <w:rFonts w:ascii="Arial" w:hAnsi="Arial" w:cs="Arial"/>
              </w:rPr>
            </w:pPr>
          </w:p>
          <w:p w14:paraId="5244BA21" w14:textId="433D2BDF" w:rsidR="004C4BCE" w:rsidRPr="00A14272" w:rsidRDefault="004C4BCE" w:rsidP="009A4FEC">
            <w:pPr>
              <w:pStyle w:val="NoSpacing"/>
              <w:ind w:left="25" w:right="-43"/>
              <w:rPr>
                <w:rFonts w:ascii="Arial" w:hAnsi="Arial" w:cs="Arial"/>
              </w:rPr>
            </w:pPr>
            <w:r w:rsidRPr="00A14272">
              <w:rPr>
                <w:rFonts w:ascii="Arial" w:hAnsi="Arial" w:cs="Arial"/>
              </w:rPr>
              <w:t xml:space="preserve">Up to this time, </w:t>
            </w:r>
            <w:r w:rsidR="00157CD1" w:rsidRPr="00A14272">
              <w:rPr>
                <w:rFonts w:ascii="Arial" w:hAnsi="Arial" w:cs="Arial"/>
              </w:rPr>
              <w:t xml:space="preserve">the </w:t>
            </w:r>
            <w:r w:rsidRPr="00A14272">
              <w:rPr>
                <w:rFonts w:ascii="Arial" w:hAnsi="Arial" w:cs="Arial"/>
              </w:rPr>
              <w:t xml:space="preserve">Management is still exerting all efforts to secure authority from the DENR to cut the matured trees. </w:t>
            </w:r>
          </w:p>
          <w:p w14:paraId="31A56A6B" w14:textId="77777777" w:rsidR="004C4BCE" w:rsidRPr="00C24152" w:rsidRDefault="004C4BCE" w:rsidP="009A4FEC">
            <w:pPr>
              <w:pStyle w:val="NoSpacing"/>
              <w:ind w:left="25" w:right="-43"/>
              <w:rPr>
                <w:rFonts w:ascii="Arial" w:hAnsi="Arial" w:cs="Arial"/>
                <w:sz w:val="20"/>
                <w:szCs w:val="20"/>
              </w:rPr>
            </w:pPr>
          </w:p>
          <w:p w14:paraId="31F049F6" w14:textId="59957E6A" w:rsidR="00A45408" w:rsidRPr="00000A5C" w:rsidRDefault="009F4836" w:rsidP="00A45408">
            <w:pPr>
              <w:pStyle w:val="NoSpacing"/>
              <w:spacing w:line="240" w:lineRule="auto"/>
              <w:ind w:right="-108"/>
              <w:rPr>
                <w:rFonts w:ascii="Arial" w:hAnsi="Arial" w:cs="Arial"/>
              </w:rPr>
            </w:pPr>
            <w:r w:rsidRPr="00C24152">
              <w:rPr>
                <w:rFonts w:ascii="Arial" w:hAnsi="Arial" w:cs="Arial"/>
              </w:rPr>
              <w:t>Partially Implemented.</w:t>
            </w:r>
            <w:r>
              <w:rPr>
                <w:rFonts w:ascii="Arial" w:hAnsi="Arial" w:cs="Arial"/>
              </w:rPr>
              <w:t xml:space="preserve">  </w:t>
            </w:r>
          </w:p>
          <w:p w14:paraId="6A5239F5" w14:textId="77777777" w:rsidR="00A45408" w:rsidRDefault="00A45408" w:rsidP="009A4FEC">
            <w:pPr>
              <w:pStyle w:val="NoSpacing"/>
              <w:ind w:left="25" w:right="-43"/>
              <w:rPr>
                <w:rFonts w:ascii="Arial" w:hAnsi="Arial" w:cs="Arial"/>
              </w:rPr>
            </w:pPr>
          </w:p>
          <w:p w14:paraId="6F8652CE" w14:textId="725E836B" w:rsidR="004C4BCE" w:rsidRPr="004C4BCE" w:rsidRDefault="004C4BCE" w:rsidP="009A4FEC">
            <w:pPr>
              <w:pStyle w:val="NoSpacing"/>
              <w:ind w:left="25" w:right="-43"/>
              <w:rPr>
                <w:rFonts w:ascii="Arial" w:hAnsi="Arial" w:cs="Arial"/>
              </w:rPr>
            </w:pPr>
            <w:r w:rsidRPr="004C4BCE">
              <w:rPr>
                <w:rFonts w:ascii="Arial" w:hAnsi="Arial" w:cs="Arial"/>
              </w:rPr>
              <w:t xml:space="preserve">The following </w:t>
            </w:r>
            <w:r w:rsidR="004D5D15">
              <w:rPr>
                <w:rFonts w:ascii="Arial" w:hAnsi="Arial" w:cs="Arial"/>
              </w:rPr>
              <w:t>Journal Entry Vouchers (</w:t>
            </w:r>
            <w:r w:rsidRPr="004C4BCE">
              <w:rPr>
                <w:rFonts w:ascii="Arial" w:hAnsi="Arial" w:cs="Arial"/>
              </w:rPr>
              <w:t>J</w:t>
            </w:r>
            <w:r w:rsidR="004D5D15">
              <w:rPr>
                <w:rFonts w:ascii="Arial" w:hAnsi="Arial" w:cs="Arial"/>
              </w:rPr>
              <w:t>E</w:t>
            </w:r>
            <w:r w:rsidRPr="004C4BCE">
              <w:rPr>
                <w:rFonts w:ascii="Arial" w:hAnsi="Arial" w:cs="Arial"/>
              </w:rPr>
              <w:t>Vs</w:t>
            </w:r>
            <w:r w:rsidR="004D5D15">
              <w:rPr>
                <w:rFonts w:ascii="Arial" w:hAnsi="Arial" w:cs="Arial"/>
              </w:rPr>
              <w:t xml:space="preserve">) </w:t>
            </w:r>
            <w:r w:rsidRPr="004C4BCE">
              <w:rPr>
                <w:rFonts w:ascii="Arial" w:hAnsi="Arial" w:cs="Arial"/>
              </w:rPr>
              <w:t>were drawn to take up the write-off of dormant receivables: J</w:t>
            </w:r>
            <w:r w:rsidR="004D5D15">
              <w:rPr>
                <w:rFonts w:ascii="Arial" w:hAnsi="Arial" w:cs="Arial"/>
              </w:rPr>
              <w:t>E</w:t>
            </w:r>
            <w:r w:rsidRPr="004C4BCE">
              <w:rPr>
                <w:rFonts w:ascii="Arial" w:hAnsi="Arial" w:cs="Arial"/>
              </w:rPr>
              <w:t>V</w:t>
            </w:r>
            <w:r w:rsidR="004D5D15">
              <w:rPr>
                <w:rFonts w:ascii="Arial" w:hAnsi="Arial" w:cs="Arial"/>
              </w:rPr>
              <w:t xml:space="preserve"> No. </w:t>
            </w:r>
            <w:r w:rsidRPr="004C4BCE">
              <w:rPr>
                <w:rFonts w:ascii="Arial" w:hAnsi="Arial" w:cs="Arial"/>
              </w:rPr>
              <w:t>2248383</w:t>
            </w:r>
            <w:r w:rsidR="0086206C">
              <w:rPr>
                <w:rFonts w:ascii="Arial" w:hAnsi="Arial" w:cs="Arial"/>
              </w:rPr>
              <w:t xml:space="preserve"> dated</w:t>
            </w:r>
            <w:r w:rsidRPr="004C4BCE">
              <w:rPr>
                <w:rFonts w:ascii="Arial" w:hAnsi="Arial" w:cs="Arial"/>
              </w:rPr>
              <w:t xml:space="preserve"> November</w:t>
            </w:r>
            <w:r w:rsidR="0086206C">
              <w:rPr>
                <w:rFonts w:ascii="Arial" w:hAnsi="Arial" w:cs="Arial"/>
              </w:rPr>
              <w:t xml:space="preserve"> 30,</w:t>
            </w:r>
            <w:r w:rsidRPr="004C4BCE">
              <w:rPr>
                <w:rFonts w:ascii="Arial" w:hAnsi="Arial" w:cs="Arial"/>
              </w:rPr>
              <w:t xml:space="preserve"> 2017 amounting to P</w:t>
            </w:r>
            <w:r w:rsidR="001B7827">
              <w:rPr>
                <w:rFonts w:ascii="Arial" w:hAnsi="Arial" w:cs="Arial"/>
              </w:rPr>
              <w:t>0.</w:t>
            </w:r>
            <w:r w:rsidRPr="004C4BCE">
              <w:rPr>
                <w:rFonts w:ascii="Arial" w:hAnsi="Arial" w:cs="Arial"/>
              </w:rPr>
              <w:t>788</w:t>
            </w:r>
            <w:r w:rsidR="001B7827">
              <w:rPr>
                <w:rFonts w:ascii="Arial" w:hAnsi="Arial" w:cs="Arial"/>
              </w:rPr>
              <w:t xml:space="preserve"> million </w:t>
            </w:r>
            <w:r w:rsidRPr="004C4BCE">
              <w:rPr>
                <w:rFonts w:ascii="Arial" w:hAnsi="Arial" w:cs="Arial"/>
              </w:rPr>
              <w:t>and J</w:t>
            </w:r>
            <w:r w:rsidR="004D5D15">
              <w:rPr>
                <w:rFonts w:ascii="Arial" w:hAnsi="Arial" w:cs="Arial"/>
              </w:rPr>
              <w:t>E</w:t>
            </w:r>
            <w:r w:rsidRPr="004C4BCE">
              <w:rPr>
                <w:rFonts w:ascii="Arial" w:hAnsi="Arial" w:cs="Arial"/>
              </w:rPr>
              <w:t>V</w:t>
            </w:r>
            <w:r w:rsidR="004D5D15">
              <w:rPr>
                <w:rFonts w:ascii="Arial" w:hAnsi="Arial" w:cs="Arial"/>
              </w:rPr>
              <w:t xml:space="preserve"> No. </w:t>
            </w:r>
            <w:r w:rsidRPr="004C4BCE">
              <w:rPr>
                <w:rFonts w:ascii="Arial" w:hAnsi="Arial" w:cs="Arial"/>
              </w:rPr>
              <w:t>2276326</w:t>
            </w:r>
            <w:r w:rsidR="0086206C">
              <w:rPr>
                <w:rFonts w:ascii="Arial" w:hAnsi="Arial" w:cs="Arial"/>
              </w:rPr>
              <w:t xml:space="preserve"> dated</w:t>
            </w:r>
            <w:r w:rsidRPr="004C4BCE">
              <w:rPr>
                <w:rFonts w:ascii="Arial" w:hAnsi="Arial" w:cs="Arial"/>
              </w:rPr>
              <w:t xml:space="preserve"> October</w:t>
            </w:r>
            <w:r w:rsidR="0086206C">
              <w:rPr>
                <w:rFonts w:ascii="Arial" w:hAnsi="Arial" w:cs="Arial"/>
              </w:rPr>
              <w:t xml:space="preserve"> 31,</w:t>
            </w:r>
            <w:r w:rsidRPr="004C4BCE">
              <w:rPr>
                <w:rFonts w:ascii="Arial" w:hAnsi="Arial" w:cs="Arial"/>
              </w:rPr>
              <w:t xml:space="preserve"> 2019 amounting to P380,224.</w:t>
            </w:r>
            <w:r w:rsidR="004D5D15">
              <w:rPr>
                <w:rFonts w:ascii="Arial" w:hAnsi="Arial" w:cs="Arial"/>
              </w:rPr>
              <w:t xml:space="preserve">  </w:t>
            </w:r>
            <w:r w:rsidR="005A20B8">
              <w:rPr>
                <w:rFonts w:ascii="Arial" w:hAnsi="Arial" w:cs="Arial"/>
              </w:rPr>
              <w:t xml:space="preserve">The Management </w:t>
            </w:r>
            <w:r w:rsidRPr="004C4BCE">
              <w:rPr>
                <w:rFonts w:ascii="Arial" w:hAnsi="Arial" w:cs="Arial"/>
              </w:rPr>
              <w:t xml:space="preserve">already posted </w:t>
            </w:r>
            <w:r w:rsidR="007D6D4B">
              <w:rPr>
                <w:rFonts w:ascii="Arial" w:hAnsi="Arial" w:cs="Arial"/>
              </w:rPr>
              <w:t>their</w:t>
            </w:r>
            <w:r w:rsidRPr="004C4BCE">
              <w:rPr>
                <w:rFonts w:ascii="Arial" w:hAnsi="Arial" w:cs="Arial"/>
              </w:rPr>
              <w:t xml:space="preserve"> sixth attempt to reach out to delinquent borrowers with </w:t>
            </w:r>
            <w:r w:rsidR="00FE6C9A">
              <w:rPr>
                <w:rFonts w:ascii="Arial" w:hAnsi="Arial" w:cs="Arial"/>
              </w:rPr>
              <w:t xml:space="preserve">unsettled accounts totaling </w:t>
            </w:r>
            <w:r w:rsidRPr="004C4BCE">
              <w:rPr>
                <w:rFonts w:ascii="Arial" w:hAnsi="Arial" w:cs="Arial"/>
              </w:rPr>
              <w:t xml:space="preserve"> P184,373 on November 5, 2019.</w:t>
            </w:r>
          </w:p>
          <w:p w14:paraId="0F238AC5" w14:textId="77777777" w:rsidR="004C4BCE" w:rsidRPr="00C24152" w:rsidRDefault="004C4BCE" w:rsidP="009A4FEC">
            <w:pPr>
              <w:pStyle w:val="NoSpacing"/>
              <w:spacing w:line="240" w:lineRule="auto"/>
              <w:ind w:left="25" w:right="-108"/>
              <w:rPr>
                <w:rFonts w:ascii="Arial" w:hAnsi="Arial" w:cs="Arial"/>
                <w:sz w:val="20"/>
                <w:szCs w:val="20"/>
              </w:rPr>
            </w:pPr>
          </w:p>
        </w:tc>
      </w:tr>
      <w:tr w:rsidR="00E0296C" w:rsidRPr="0035547E" w14:paraId="17182A66" w14:textId="77777777" w:rsidTr="00C24152">
        <w:trPr>
          <w:trHeight w:val="480"/>
        </w:trPr>
        <w:tc>
          <w:tcPr>
            <w:tcW w:w="5199" w:type="dxa"/>
          </w:tcPr>
          <w:p w14:paraId="55FA6BC4" w14:textId="77777777" w:rsidR="0086238C" w:rsidRDefault="00E0296C" w:rsidP="00BC7B11">
            <w:pPr>
              <w:pStyle w:val="NoSpacing"/>
              <w:numPr>
                <w:ilvl w:val="0"/>
                <w:numId w:val="21"/>
              </w:numPr>
              <w:tabs>
                <w:tab w:val="left" w:pos="362"/>
              </w:tabs>
              <w:spacing w:line="240" w:lineRule="auto"/>
              <w:ind w:left="-120" w:firstLine="0"/>
              <w:rPr>
                <w:rFonts w:ascii="Arial" w:hAnsi="Arial" w:cs="Arial"/>
                <w:bCs/>
                <w:i/>
                <w:color w:val="000000" w:themeColor="text1"/>
              </w:rPr>
            </w:pPr>
            <w:bookmarkStart w:id="7" w:name="_Hlk11350730"/>
            <w:r w:rsidRPr="00E0296C">
              <w:rPr>
                <w:rFonts w:ascii="Arial" w:hAnsi="Arial" w:cs="Arial"/>
                <w:bCs/>
                <w:color w:val="000000" w:themeColor="text1"/>
                <w:lang w:val="en-GB"/>
              </w:rPr>
              <w:lastRenderedPageBreak/>
              <w:t>The</w:t>
            </w:r>
            <w:r>
              <w:rPr>
                <w:rFonts w:ascii="Arial" w:hAnsi="Arial" w:cs="Arial"/>
                <w:b/>
                <w:color w:val="000000" w:themeColor="text1"/>
              </w:rPr>
              <w:t xml:space="preserve"> </w:t>
            </w:r>
            <w:r w:rsidRPr="00E0296C">
              <w:rPr>
                <w:rFonts w:ascii="Arial" w:hAnsi="Arial" w:cs="Arial"/>
                <w:bCs/>
                <w:color w:val="000000" w:themeColor="text1"/>
              </w:rPr>
              <w:t>Land account balance of P101.315 million per accounting records differed by P155.516 million from the property records.  The cost of the land derecognized from the books for the property sold was overstated by P1.129 million, thus, understating the Land account by the same amount.  Moreover, there were deficiencies which affect the ownership of NTA over its properties, while the vacant NTA properties are not protected against encroachment of informal settlers.  Thus, the existence and completeness of the Land account balance recognized in the financial statements as at December 31, 2018 cannot be ascertained.</w:t>
            </w:r>
          </w:p>
          <w:p w14:paraId="030530C6" w14:textId="77777777" w:rsidR="0086238C" w:rsidRDefault="0086238C" w:rsidP="00BC7B11">
            <w:pPr>
              <w:pStyle w:val="NoSpacing"/>
              <w:spacing w:line="240" w:lineRule="auto"/>
              <w:rPr>
                <w:rFonts w:ascii="Arial" w:hAnsi="Arial" w:cs="Arial"/>
                <w:bCs/>
                <w:color w:val="000000" w:themeColor="text1"/>
              </w:rPr>
            </w:pPr>
          </w:p>
          <w:p w14:paraId="792CC4FD" w14:textId="77777777" w:rsidR="0086238C" w:rsidRDefault="00E0296C" w:rsidP="00BC7B11">
            <w:pPr>
              <w:pStyle w:val="NoSpacing"/>
              <w:spacing w:line="240" w:lineRule="auto"/>
              <w:ind w:left="-120"/>
              <w:rPr>
                <w:rFonts w:ascii="Arial" w:hAnsi="Arial" w:cs="Arial"/>
                <w:bCs/>
                <w:color w:val="000000" w:themeColor="text1"/>
              </w:rPr>
            </w:pPr>
            <w:r w:rsidRPr="00E0296C">
              <w:rPr>
                <w:rFonts w:ascii="Arial" w:hAnsi="Arial" w:cs="Arial"/>
                <w:bCs/>
                <w:color w:val="000000" w:themeColor="text1"/>
              </w:rPr>
              <w:t>We recommended that Management require the:</w:t>
            </w:r>
          </w:p>
          <w:p w14:paraId="458E0C6F" w14:textId="77777777" w:rsidR="0086238C" w:rsidRDefault="0086238C" w:rsidP="00BC7B11">
            <w:pPr>
              <w:pStyle w:val="NoSpacing"/>
              <w:spacing w:line="240" w:lineRule="auto"/>
              <w:rPr>
                <w:rFonts w:ascii="Arial" w:hAnsi="Arial" w:cs="Arial"/>
                <w:bCs/>
                <w:color w:val="000000" w:themeColor="text1"/>
              </w:rPr>
            </w:pPr>
          </w:p>
          <w:p w14:paraId="757FC5BA" w14:textId="231AC0EA" w:rsidR="0086238C" w:rsidRDefault="00E0296C" w:rsidP="00BC7B11">
            <w:pPr>
              <w:pStyle w:val="NoSpacing"/>
              <w:numPr>
                <w:ilvl w:val="0"/>
                <w:numId w:val="25"/>
              </w:numPr>
              <w:tabs>
                <w:tab w:val="left" w:pos="352"/>
              </w:tabs>
              <w:spacing w:line="240" w:lineRule="auto"/>
              <w:ind w:left="-120" w:firstLine="0"/>
              <w:rPr>
                <w:rFonts w:ascii="Arial" w:hAnsi="Arial" w:cs="Arial"/>
                <w:bCs/>
                <w:color w:val="000000" w:themeColor="text1"/>
              </w:rPr>
            </w:pPr>
            <w:bookmarkStart w:id="8" w:name="_Hlk6422875"/>
            <w:r w:rsidRPr="00E0296C">
              <w:rPr>
                <w:rFonts w:ascii="Arial" w:hAnsi="Arial" w:cs="Arial"/>
                <w:bCs/>
                <w:color w:val="000000" w:themeColor="text1"/>
              </w:rPr>
              <w:t xml:space="preserve">Inventory Committee to conduct physical inventory of all immovable properties recorded in the books of NTA including the properties located in CAR, Regions I and II that are included in their property listing and to check their existence and conditions, and prepare the </w:t>
            </w:r>
            <w:r w:rsidR="00C33820">
              <w:rPr>
                <w:rFonts w:ascii="Arial" w:hAnsi="Arial" w:cs="Arial"/>
                <w:bCs/>
                <w:color w:val="000000" w:themeColor="text1"/>
              </w:rPr>
              <w:t>Report on the Physical Count of PPE (</w:t>
            </w:r>
            <w:r w:rsidRPr="00E0296C">
              <w:rPr>
                <w:rFonts w:ascii="Arial" w:hAnsi="Arial" w:cs="Arial"/>
                <w:bCs/>
                <w:color w:val="000000" w:themeColor="text1"/>
              </w:rPr>
              <w:t>RPCPPE</w:t>
            </w:r>
            <w:r w:rsidR="00C33820">
              <w:rPr>
                <w:rFonts w:ascii="Arial" w:hAnsi="Arial" w:cs="Arial"/>
                <w:bCs/>
                <w:color w:val="000000" w:themeColor="text1"/>
              </w:rPr>
              <w:t>)</w:t>
            </w:r>
            <w:r w:rsidRPr="00E0296C">
              <w:rPr>
                <w:rFonts w:ascii="Arial" w:hAnsi="Arial" w:cs="Arial"/>
                <w:bCs/>
                <w:color w:val="000000" w:themeColor="text1"/>
              </w:rPr>
              <w:t>;</w:t>
            </w:r>
          </w:p>
          <w:p w14:paraId="41D174BE" w14:textId="77777777" w:rsidR="0086238C" w:rsidRDefault="0086238C" w:rsidP="001D6CCE">
            <w:pPr>
              <w:pStyle w:val="NoSpacing"/>
              <w:spacing w:line="240" w:lineRule="auto"/>
              <w:ind w:left="-110"/>
              <w:rPr>
                <w:rFonts w:ascii="Arial" w:hAnsi="Arial" w:cs="Arial"/>
                <w:bCs/>
                <w:color w:val="000000" w:themeColor="text1"/>
              </w:rPr>
            </w:pPr>
          </w:p>
          <w:p w14:paraId="1B7886C0" w14:textId="77777777" w:rsidR="0086238C" w:rsidRDefault="0086238C" w:rsidP="001D6CCE">
            <w:pPr>
              <w:pStyle w:val="NoSpacing"/>
              <w:spacing w:line="240" w:lineRule="auto"/>
              <w:ind w:left="-110"/>
              <w:rPr>
                <w:rFonts w:ascii="Arial" w:hAnsi="Arial" w:cs="Arial"/>
                <w:bCs/>
                <w:color w:val="000000" w:themeColor="text1"/>
              </w:rPr>
            </w:pPr>
          </w:p>
          <w:p w14:paraId="79D63289" w14:textId="77777777" w:rsidR="0086238C" w:rsidRDefault="0086238C" w:rsidP="001D6CCE">
            <w:pPr>
              <w:pStyle w:val="NoSpacing"/>
              <w:spacing w:line="240" w:lineRule="auto"/>
              <w:ind w:left="-110"/>
              <w:rPr>
                <w:rFonts w:ascii="Arial" w:hAnsi="Arial" w:cs="Arial"/>
                <w:bCs/>
                <w:color w:val="000000" w:themeColor="text1"/>
              </w:rPr>
            </w:pPr>
          </w:p>
          <w:p w14:paraId="295DBA37" w14:textId="77777777" w:rsidR="0086238C" w:rsidRDefault="0086238C" w:rsidP="001D6CCE">
            <w:pPr>
              <w:pStyle w:val="NoSpacing"/>
              <w:spacing w:line="240" w:lineRule="auto"/>
              <w:ind w:left="-110"/>
              <w:rPr>
                <w:rFonts w:ascii="Arial" w:hAnsi="Arial" w:cs="Arial"/>
                <w:bCs/>
                <w:color w:val="000000" w:themeColor="text1"/>
              </w:rPr>
            </w:pPr>
          </w:p>
          <w:p w14:paraId="4A9C2B9A" w14:textId="77777777" w:rsidR="0086238C" w:rsidRDefault="0086238C" w:rsidP="001D6CCE">
            <w:pPr>
              <w:pStyle w:val="NoSpacing"/>
              <w:spacing w:line="240" w:lineRule="auto"/>
              <w:ind w:left="-110"/>
              <w:rPr>
                <w:rFonts w:ascii="Arial" w:hAnsi="Arial" w:cs="Arial"/>
                <w:bCs/>
                <w:color w:val="000000" w:themeColor="text1"/>
              </w:rPr>
            </w:pPr>
          </w:p>
          <w:p w14:paraId="41DCAB87" w14:textId="4236DE06" w:rsidR="0086238C" w:rsidRDefault="00E0296C" w:rsidP="00BC7B11">
            <w:pPr>
              <w:pStyle w:val="NoSpacing"/>
              <w:numPr>
                <w:ilvl w:val="0"/>
                <w:numId w:val="25"/>
              </w:numPr>
              <w:tabs>
                <w:tab w:val="left" w:pos="352"/>
              </w:tabs>
              <w:spacing w:line="240" w:lineRule="auto"/>
              <w:ind w:left="-120" w:firstLine="0"/>
              <w:rPr>
                <w:rFonts w:ascii="Arial" w:hAnsi="Arial" w:cs="Arial"/>
                <w:bCs/>
                <w:color w:val="000000" w:themeColor="text1"/>
              </w:rPr>
            </w:pPr>
            <w:r w:rsidRPr="00E0296C">
              <w:rPr>
                <w:rFonts w:ascii="Arial" w:hAnsi="Arial" w:cs="Arial"/>
                <w:bCs/>
                <w:color w:val="000000" w:themeColor="text1"/>
              </w:rPr>
              <w:t xml:space="preserve">Property and the Accounting Divisions to reconcile the RPCPPE with the accounting and property records to identify the missing and unrecorded properties in the books, as well as the NTA’s real </w:t>
            </w:r>
            <w:r w:rsidR="00DA3836">
              <w:rPr>
                <w:rFonts w:ascii="Arial" w:hAnsi="Arial" w:cs="Arial"/>
                <w:bCs/>
                <w:color w:val="000000" w:themeColor="text1"/>
              </w:rPr>
              <w:t>properties in inventory listing</w:t>
            </w:r>
            <w:r w:rsidRPr="00E0296C">
              <w:rPr>
                <w:rFonts w:ascii="Arial" w:hAnsi="Arial" w:cs="Arial"/>
                <w:bCs/>
                <w:color w:val="000000" w:themeColor="text1"/>
              </w:rPr>
              <w:t xml:space="preserve"> that are inexistent and no longer in control of the NTA to be dropped from the property records, subject to the approval of the NTA </w:t>
            </w:r>
            <w:r w:rsidR="008C0096">
              <w:rPr>
                <w:rFonts w:ascii="Arial" w:hAnsi="Arial" w:cs="Arial"/>
                <w:bCs/>
                <w:color w:val="000000" w:themeColor="text1"/>
              </w:rPr>
              <w:t>Board of Directors (</w:t>
            </w:r>
            <w:r w:rsidRPr="00E0296C">
              <w:rPr>
                <w:rFonts w:ascii="Arial" w:hAnsi="Arial" w:cs="Arial"/>
                <w:bCs/>
                <w:color w:val="000000" w:themeColor="text1"/>
              </w:rPr>
              <w:t>BOD</w:t>
            </w:r>
            <w:r w:rsidR="008C0096">
              <w:rPr>
                <w:rFonts w:ascii="Arial" w:hAnsi="Arial" w:cs="Arial"/>
                <w:bCs/>
                <w:color w:val="000000" w:themeColor="text1"/>
              </w:rPr>
              <w:t xml:space="preserve">) </w:t>
            </w:r>
            <w:r w:rsidRPr="00E0296C">
              <w:rPr>
                <w:rFonts w:ascii="Arial" w:hAnsi="Arial" w:cs="Arial"/>
                <w:bCs/>
                <w:color w:val="000000" w:themeColor="text1"/>
              </w:rPr>
              <w:t xml:space="preserve">and the pertinent laws, rules and regulations; </w:t>
            </w:r>
          </w:p>
          <w:p w14:paraId="401ACA76" w14:textId="62871B38" w:rsidR="000728C9" w:rsidRDefault="000728C9" w:rsidP="000728C9">
            <w:pPr>
              <w:pStyle w:val="NoSpacing"/>
              <w:tabs>
                <w:tab w:val="left" w:pos="352"/>
              </w:tabs>
              <w:spacing w:line="240" w:lineRule="auto"/>
              <w:ind w:left="-120"/>
              <w:rPr>
                <w:rFonts w:ascii="Arial" w:hAnsi="Arial" w:cs="Arial"/>
                <w:bCs/>
                <w:color w:val="000000" w:themeColor="text1"/>
              </w:rPr>
            </w:pPr>
          </w:p>
          <w:p w14:paraId="08D17A21" w14:textId="59812077" w:rsidR="000728C9" w:rsidRPr="000728C9" w:rsidRDefault="00E0296C" w:rsidP="000728C9">
            <w:pPr>
              <w:pStyle w:val="NoSpacing"/>
              <w:numPr>
                <w:ilvl w:val="0"/>
                <w:numId w:val="25"/>
              </w:numPr>
              <w:tabs>
                <w:tab w:val="left" w:pos="342"/>
              </w:tabs>
              <w:spacing w:line="240" w:lineRule="auto"/>
              <w:ind w:left="-120" w:firstLine="0"/>
              <w:rPr>
                <w:rFonts w:ascii="Arial" w:hAnsi="Arial" w:cs="Arial"/>
                <w:bCs/>
                <w:color w:val="000000" w:themeColor="text1"/>
              </w:rPr>
            </w:pPr>
            <w:r w:rsidRPr="000728C9">
              <w:rPr>
                <w:rFonts w:ascii="Arial" w:hAnsi="Arial" w:cs="Arial"/>
                <w:bCs/>
                <w:color w:val="000000" w:themeColor="text1"/>
              </w:rPr>
              <w:t xml:space="preserve">The Accountants of NTA </w:t>
            </w:r>
            <w:r w:rsidR="008C0096">
              <w:rPr>
                <w:rFonts w:ascii="Arial" w:hAnsi="Arial" w:cs="Arial"/>
                <w:bCs/>
                <w:color w:val="000000" w:themeColor="text1"/>
              </w:rPr>
              <w:t>Head Office (</w:t>
            </w:r>
            <w:r w:rsidRPr="000728C9">
              <w:rPr>
                <w:rFonts w:ascii="Arial" w:hAnsi="Arial" w:cs="Arial"/>
                <w:bCs/>
                <w:color w:val="000000" w:themeColor="text1"/>
              </w:rPr>
              <w:t>HO</w:t>
            </w:r>
            <w:r w:rsidR="008C0096">
              <w:rPr>
                <w:rFonts w:ascii="Arial" w:hAnsi="Arial" w:cs="Arial"/>
                <w:bCs/>
                <w:color w:val="000000" w:themeColor="text1"/>
              </w:rPr>
              <w:t xml:space="preserve">) </w:t>
            </w:r>
            <w:r w:rsidRPr="000728C9">
              <w:rPr>
                <w:rFonts w:ascii="Arial" w:hAnsi="Arial" w:cs="Arial"/>
                <w:bCs/>
                <w:color w:val="000000" w:themeColor="text1"/>
              </w:rPr>
              <w:t>and branches to:</w:t>
            </w:r>
          </w:p>
          <w:p w14:paraId="16A5413F" w14:textId="77777777" w:rsidR="0086238C" w:rsidRDefault="0086238C" w:rsidP="00BC7B11">
            <w:pPr>
              <w:pStyle w:val="NoSpacing"/>
              <w:spacing w:line="240" w:lineRule="auto"/>
              <w:ind w:left="-120"/>
              <w:rPr>
                <w:rFonts w:ascii="Arial" w:hAnsi="Arial" w:cs="Arial"/>
                <w:bCs/>
                <w:color w:val="000000" w:themeColor="text1"/>
              </w:rPr>
            </w:pPr>
          </w:p>
          <w:p w14:paraId="5CC4D957" w14:textId="00A6BAE5" w:rsidR="0086238C" w:rsidRDefault="00E0296C" w:rsidP="00BC7B11">
            <w:pPr>
              <w:pStyle w:val="NoSpacing"/>
              <w:tabs>
                <w:tab w:val="left" w:pos="708"/>
              </w:tabs>
              <w:spacing w:line="240" w:lineRule="auto"/>
              <w:ind w:left="352"/>
              <w:rPr>
                <w:rFonts w:ascii="Arial" w:hAnsi="Arial" w:cs="Arial"/>
                <w:bCs/>
                <w:color w:val="000000" w:themeColor="text1"/>
              </w:rPr>
            </w:pPr>
            <w:r w:rsidRPr="00E0296C">
              <w:rPr>
                <w:rFonts w:ascii="Arial" w:hAnsi="Arial" w:cs="Arial"/>
                <w:bCs/>
                <w:color w:val="000000" w:themeColor="text1"/>
              </w:rPr>
              <w:t>c.1   Check where the properties should be recorded, whether in the books of HO</w:t>
            </w:r>
            <w:r w:rsidR="00C428B0">
              <w:rPr>
                <w:rFonts w:ascii="Arial" w:hAnsi="Arial" w:cs="Arial"/>
                <w:bCs/>
                <w:color w:val="000000" w:themeColor="text1"/>
              </w:rPr>
              <w:t xml:space="preserve"> </w:t>
            </w:r>
            <w:r w:rsidRPr="00E0296C">
              <w:rPr>
                <w:rFonts w:ascii="Arial" w:hAnsi="Arial" w:cs="Arial"/>
                <w:bCs/>
                <w:color w:val="000000" w:themeColor="text1"/>
              </w:rPr>
              <w:t xml:space="preserve">or in the branches, and together with the other reconciling items from the results of the reconciliation in letter b, make the necessary adjustments; </w:t>
            </w:r>
          </w:p>
          <w:p w14:paraId="42BAFBFB" w14:textId="77777777" w:rsidR="005B08C6" w:rsidRDefault="005B08C6" w:rsidP="00BC7B11">
            <w:pPr>
              <w:pStyle w:val="NoSpacing"/>
              <w:spacing w:line="240" w:lineRule="auto"/>
              <w:rPr>
                <w:rFonts w:ascii="Arial" w:hAnsi="Arial" w:cs="Arial"/>
                <w:bCs/>
                <w:color w:val="000000" w:themeColor="text1"/>
              </w:rPr>
            </w:pPr>
          </w:p>
          <w:p w14:paraId="478CE62A" w14:textId="77777777" w:rsidR="0086238C" w:rsidRDefault="00E0296C" w:rsidP="00BC7B11">
            <w:pPr>
              <w:pStyle w:val="NoSpacing"/>
              <w:tabs>
                <w:tab w:val="left" w:pos="708"/>
              </w:tabs>
              <w:spacing w:line="240" w:lineRule="auto"/>
              <w:ind w:left="352"/>
              <w:rPr>
                <w:rFonts w:ascii="Arial" w:hAnsi="Arial" w:cs="Arial"/>
                <w:bCs/>
                <w:color w:val="000000" w:themeColor="text1"/>
              </w:rPr>
            </w:pPr>
            <w:r w:rsidRPr="00E0296C">
              <w:rPr>
                <w:rFonts w:ascii="Arial" w:hAnsi="Arial" w:cs="Arial"/>
                <w:bCs/>
                <w:color w:val="000000" w:themeColor="text1"/>
              </w:rPr>
              <w:t>c.2   Effect the necessary adjustments on the recording of the sale of land in Paco, Manila and the installment payments received;</w:t>
            </w:r>
          </w:p>
          <w:p w14:paraId="0366ABC2" w14:textId="77777777" w:rsidR="0086238C" w:rsidRDefault="0086238C" w:rsidP="00C24152">
            <w:pPr>
              <w:pStyle w:val="NoSpacing"/>
              <w:spacing w:line="240" w:lineRule="auto"/>
              <w:rPr>
                <w:rFonts w:ascii="Arial" w:hAnsi="Arial" w:cs="Arial"/>
                <w:bCs/>
                <w:color w:val="000000" w:themeColor="text1"/>
              </w:rPr>
            </w:pPr>
          </w:p>
          <w:p w14:paraId="14D7E46E" w14:textId="77777777" w:rsidR="0086238C" w:rsidRDefault="0086238C" w:rsidP="00C24152">
            <w:pPr>
              <w:pStyle w:val="NoSpacing"/>
              <w:spacing w:line="240" w:lineRule="auto"/>
              <w:rPr>
                <w:rFonts w:ascii="Arial" w:hAnsi="Arial" w:cs="Arial"/>
                <w:bCs/>
                <w:color w:val="000000" w:themeColor="text1"/>
              </w:rPr>
            </w:pPr>
          </w:p>
          <w:p w14:paraId="39631738" w14:textId="10A1566F" w:rsidR="0086238C" w:rsidRDefault="0086238C" w:rsidP="00C24152">
            <w:pPr>
              <w:pStyle w:val="NoSpacing"/>
              <w:spacing w:line="240" w:lineRule="auto"/>
              <w:rPr>
                <w:rFonts w:ascii="Arial" w:hAnsi="Arial" w:cs="Arial"/>
                <w:bCs/>
                <w:color w:val="000000" w:themeColor="text1"/>
              </w:rPr>
            </w:pPr>
          </w:p>
          <w:p w14:paraId="187DA736" w14:textId="1CE897BF" w:rsidR="00FA3F02" w:rsidRDefault="00FA3F02" w:rsidP="00C24152">
            <w:pPr>
              <w:pStyle w:val="NoSpacing"/>
              <w:spacing w:line="240" w:lineRule="auto"/>
              <w:rPr>
                <w:rFonts w:ascii="Arial" w:hAnsi="Arial" w:cs="Arial"/>
                <w:bCs/>
                <w:color w:val="000000" w:themeColor="text1"/>
              </w:rPr>
            </w:pPr>
          </w:p>
          <w:p w14:paraId="22122C37" w14:textId="54F928B5" w:rsidR="009F4836" w:rsidRDefault="009F4836" w:rsidP="00C24152">
            <w:pPr>
              <w:pStyle w:val="NoSpacing"/>
              <w:spacing w:line="240" w:lineRule="auto"/>
              <w:rPr>
                <w:rFonts w:ascii="Arial" w:hAnsi="Arial" w:cs="Arial"/>
                <w:bCs/>
                <w:color w:val="000000" w:themeColor="text1"/>
              </w:rPr>
            </w:pPr>
          </w:p>
          <w:p w14:paraId="759B89FB" w14:textId="77777777" w:rsidR="000728C9" w:rsidRDefault="000728C9" w:rsidP="00C24152">
            <w:pPr>
              <w:pStyle w:val="NoSpacing"/>
              <w:spacing w:line="240" w:lineRule="auto"/>
              <w:rPr>
                <w:rFonts w:ascii="Arial" w:hAnsi="Arial" w:cs="Arial"/>
                <w:bCs/>
                <w:color w:val="000000" w:themeColor="text1"/>
              </w:rPr>
            </w:pPr>
          </w:p>
          <w:p w14:paraId="71F3687C" w14:textId="77777777" w:rsidR="0086238C" w:rsidRDefault="00E0296C" w:rsidP="00BC7B11">
            <w:pPr>
              <w:pStyle w:val="NoSpacing"/>
              <w:numPr>
                <w:ilvl w:val="0"/>
                <w:numId w:val="25"/>
              </w:numPr>
              <w:tabs>
                <w:tab w:val="left" w:pos="342"/>
              </w:tabs>
              <w:spacing w:line="240" w:lineRule="auto"/>
              <w:ind w:left="-120" w:firstLine="0"/>
              <w:rPr>
                <w:rFonts w:ascii="Arial" w:hAnsi="Arial" w:cs="Arial"/>
                <w:bCs/>
                <w:color w:val="000000" w:themeColor="text1"/>
              </w:rPr>
            </w:pPr>
            <w:r w:rsidRPr="00E0296C">
              <w:rPr>
                <w:rFonts w:ascii="Arial" w:hAnsi="Arial" w:cs="Arial"/>
                <w:bCs/>
                <w:color w:val="000000" w:themeColor="text1"/>
              </w:rPr>
              <w:t xml:space="preserve">The Property Officer to facilitate the transfer and titling of the land where the NTA Pangasinan Branch is situated in the name of the Branch; </w:t>
            </w:r>
          </w:p>
          <w:p w14:paraId="62D0D91F" w14:textId="77777777" w:rsidR="000728C9" w:rsidRDefault="000728C9" w:rsidP="00C24152">
            <w:pPr>
              <w:pStyle w:val="NoSpacing"/>
              <w:spacing w:line="240" w:lineRule="auto"/>
              <w:rPr>
                <w:rFonts w:ascii="Arial" w:hAnsi="Arial" w:cs="Arial"/>
                <w:bCs/>
                <w:color w:val="000000" w:themeColor="text1"/>
              </w:rPr>
            </w:pPr>
          </w:p>
          <w:p w14:paraId="601EEEB6" w14:textId="77777777" w:rsidR="0086238C" w:rsidRDefault="00E0296C" w:rsidP="00BC7B11">
            <w:pPr>
              <w:pStyle w:val="NoSpacing"/>
              <w:numPr>
                <w:ilvl w:val="0"/>
                <w:numId w:val="25"/>
              </w:numPr>
              <w:tabs>
                <w:tab w:val="left" w:pos="342"/>
              </w:tabs>
              <w:spacing w:line="240" w:lineRule="auto"/>
              <w:ind w:left="-120" w:firstLine="0"/>
              <w:rPr>
                <w:rFonts w:ascii="Arial" w:hAnsi="Arial" w:cs="Arial"/>
                <w:bCs/>
                <w:color w:val="000000" w:themeColor="text1"/>
              </w:rPr>
            </w:pPr>
            <w:r w:rsidRPr="00E0296C">
              <w:rPr>
                <w:rFonts w:ascii="Arial" w:hAnsi="Arial" w:cs="Arial"/>
                <w:bCs/>
                <w:color w:val="000000" w:themeColor="text1"/>
              </w:rPr>
              <w:t>The Legal Officer to make representation before the court on all the cases where the ownership of NTA’s properties is being questioned; and</w:t>
            </w:r>
          </w:p>
          <w:p w14:paraId="1DB8B847" w14:textId="77777777" w:rsidR="0086238C" w:rsidRDefault="0086238C" w:rsidP="001D6CCE">
            <w:pPr>
              <w:pStyle w:val="NoSpacing"/>
              <w:spacing w:line="240" w:lineRule="auto"/>
              <w:ind w:left="-20"/>
              <w:rPr>
                <w:rFonts w:ascii="Arial" w:hAnsi="Arial" w:cs="Arial"/>
                <w:bCs/>
                <w:color w:val="000000" w:themeColor="text1"/>
              </w:rPr>
            </w:pPr>
          </w:p>
          <w:p w14:paraId="52822E72" w14:textId="77777777" w:rsidR="0086238C" w:rsidRDefault="0086238C" w:rsidP="001D6CCE">
            <w:pPr>
              <w:pStyle w:val="NoSpacing"/>
              <w:spacing w:line="240" w:lineRule="auto"/>
              <w:ind w:left="-20"/>
              <w:rPr>
                <w:rFonts w:ascii="Arial" w:hAnsi="Arial" w:cs="Arial"/>
                <w:bCs/>
                <w:color w:val="000000" w:themeColor="text1"/>
              </w:rPr>
            </w:pPr>
          </w:p>
          <w:p w14:paraId="39D95B90" w14:textId="2B33DE61" w:rsidR="00C33336" w:rsidRDefault="00C33336" w:rsidP="00C24152">
            <w:pPr>
              <w:pStyle w:val="NoSpacing"/>
              <w:spacing w:line="240" w:lineRule="auto"/>
              <w:rPr>
                <w:rFonts w:ascii="Arial" w:hAnsi="Arial" w:cs="Arial"/>
                <w:bCs/>
                <w:color w:val="000000" w:themeColor="text1"/>
              </w:rPr>
            </w:pPr>
          </w:p>
          <w:p w14:paraId="2E8FCCD6" w14:textId="77777777" w:rsidR="005B08C6" w:rsidRDefault="005B08C6" w:rsidP="001D6CCE">
            <w:pPr>
              <w:pStyle w:val="NoSpacing"/>
              <w:spacing w:line="240" w:lineRule="auto"/>
              <w:ind w:left="-20"/>
              <w:rPr>
                <w:rFonts w:ascii="Arial" w:hAnsi="Arial" w:cs="Arial"/>
                <w:bCs/>
                <w:color w:val="000000" w:themeColor="text1"/>
              </w:rPr>
            </w:pPr>
          </w:p>
          <w:p w14:paraId="41E67449" w14:textId="175C8211" w:rsidR="0086238C" w:rsidRDefault="00E0296C" w:rsidP="00BC7B11">
            <w:pPr>
              <w:pStyle w:val="NoSpacing"/>
              <w:numPr>
                <w:ilvl w:val="0"/>
                <w:numId w:val="25"/>
              </w:numPr>
              <w:tabs>
                <w:tab w:val="left" w:pos="342"/>
              </w:tabs>
              <w:spacing w:line="240" w:lineRule="auto"/>
              <w:ind w:left="-120" w:firstLine="0"/>
              <w:rPr>
                <w:rFonts w:ascii="Arial" w:hAnsi="Arial" w:cs="Arial"/>
                <w:bCs/>
                <w:color w:val="000000" w:themeColor="text1"/>
              </w:rPr>
            </w:pPr>
            <w:r w:rsidRPr="00E0296C">
              <w:rPr>
                <w:rFonts w:ascii="Arial" w:hAnsi="Arial" w:cs="Arial"/>
                <w:bCs/>
                <w:color w:val="000000" w:themeColor="text1"/>
              </w:rPr>
              <w:t xml:space="preserve">Responsible officials to settle the upfront payment of P10 million to </w:t>
            </w:r>
            <w:r w:rsidR="00E9216F">
              <w:rPr>
                <w:rFonts w:ascii="Arial" w:hAnsi="Arial" w:cs="Arial"/>
                <w:bCs/>
                <w:color w:val="000000" w:themeColor="text1"/>
              </w:rPr>
              <w:t>Philippine Deposit Insurance Corporation (</w:t>
            </w:r>
            <w:r w:rsidRPr="00E0296C">
              <w:rPr>
                <w:rFonts w:ascii="Arial" w:hAnsi="Arial" w:cs="Arial"/>
                <w:bCs/>
                <w:color w:val="000000" w:themeColor="text1"/>
              </w:rPr>
              <w:t>PDIC</w:t>
            </w:r>
            <w:r w:rsidR="00E9216F">
              <w:rPr>
                <w:rFonts w:ascii="Arial" w:hAnsi="Arial" w:cs="Arial"/>
                <w:bCs/>
                <w:color w:val="000000" w:themeColor="text1"/>
              </w:rPr>
              <w:t xml:space="preserve">) </w:t>
            </w:r>
            <w:r w:rsidRPr="00E0296C">
              <w:rPr>
                <w:rFonts w:ascii="Arial" w:hAnsi="Arial" w:cs="Arial"/>
                <w:bCs/>
                <w:color w:val="000000" w:themeColor="text1"/>
              </w:rPr>
              <w:t>to be able to distribute the lots in Golden Leaf Village, Montalban Rizal to the employees of NTA.</w:t>
            </w:r>
          </w:p>
          <w:bookmarkEnd w:id="7"/>
          <w:bookmarkEnd w:id="8"/>
          <w:p w14:paraId="4107EAEA" w14:textId="77777777" w:rsidR="0086238C" w:rsidRDefault="0086238C" w:rsidP="00BC7B11">
            <w:pPr>
              <w:pStyle w:val="NoSpacing"/>
              <w:spacing w:line="240" w:lineRule="auto"/>
              <w:ind w:left="-105"/>
              <w:rPr>
                <w:rFonts w:ascii="Arial" w:hAnsi="Arial" w:cs="Arial"/>
                <w:b/>
                <w:u w:val="single"/>
              </w:rPr>
            </w:pPr>
          </w:p>
        </w:tc>
        <w:tc>
          <w:tcPr>
            <w:tcW w:w="3801" w:type="dxa"/>
          </w:tcPr>
          <w:p w14:paraId="67CBD70A" w14:textId="77777777" w:rsidR="0086238C" w:rsidRDefault="0086238C" w:rsidP="00BC7B11">
            <w:pPr>
              <w:pStyle w:val="NoSpacing"/>
              <w:spacing w:line="240" w:lineRule="auto"/>
              <w:ind w:right="-108"/>
              <w:rPr>
                <w:rFonts w:ascii="Arial" w:hAnsi="Arial" w:cs="Arial"/>
              </w:rPr>
            </w:pPr>
          </w:p>
          <w:p w14:paraId="12059824" w14:textId="77777777" w:rsidR="0086238C" w:rsidRDefault="0086238C" w:rsidP="00BC7B11">
            <w:pPr>
              <w:pStyle w:val="NoSpacing"/>
              <w:spacing w:line="240" w:lineRule="auto"/>
              <w:ind w:right="-108"/>
              <w:rPr>
                <w:rFonts w:ascii="Arial" w:hAnsi="Arial" w:cs="Arial"/>
              </w:rPr>
            </w:pPr>
          </w:p>
          <w:p w14:paraId="7BAA5A11" w14:textId="77777777" w:rsidR="0086238C" w:rsidRDefault="0086238C" w:rsidP="00BC7B11">
            <w:pPr>
              <w:pStyle w:val="NoSpacing"/>
              <w:spacing w:line="240" w:lineRule="auto"/>
              <w:ind w:right="-108"/>
              <w:rPr>
                <w:rFonts w:ascii="Arial" w:hAnsi="Arial" w:cs="Arial"/>
              </w:rPr>
            </w:pPr>
          </w:p>
          <w:p w14:paraId="514E38D5" w14:textId="77777777" w:rsidR="0086238C" w:rsidRDefault="0086238C" w:rsidP="00BC7B11">
            <w:pPr>
              <w:pStyle w:val="NoSpacing"/>
              <w:spacing w:line="240" w:lineRule="auto"/>
              <w:ind w:right="-108"/>
              <w:rPr>
                <w:rFonts w:ascii="Arial" w:hAnsi="Arial" w:cs="Arial"/>
              </w:rPr>
            </w:pPr>
          </w:p>
          <w:p w14:paraId="40E72A8E" w14:textId="77777777" w:rsidR="0086238C" w:rsidRDefault="0086238C" w:rsidP="00BC7B11">
            <w:pPr>
              <w:pStyle w:val="NoSpacing"/>
              <w:spacing w:line="240" w:lineRule="auto"/>
              <w:ind w:right="-108"/>
              <w:rPr>
                <w:rFonts w:ascii="Arial" w:hAnsi="Arial" w:cs="Arial"/>
              </w:rPr>
            </w:pPr>
          </w:p>
          <w:p w14:paraId="7F5867FE" w14:textId="77777777" w:rsidR="0086238C" w:rsidRDefault="0086238C" w:rsidP="00BC7B11">
            <w:pPr>
              <w:pStyle w:val="NoSpacing"/>
              <w:spacing w:line="240" w:lineRule="auto"/>
              <w:ind w:right="-108"/>
              <w:rPr>
                <w:rFonts w:ascii="Arial" w:hAnsi="Arial" w:cs="Arial"/>
              </w:rPr>
            </w:pPr>
          </w:p>
          <w:p w14:paraId="7D9A7661" w14:textId="77777777" w:rsidR="0086238C" w:rsidRDefault="0086238C" w:rsidP="00BC7B11">
            <w:pPr>
              <w:pStyle w:val="NoSpacing"/>
              <w:spacing w:line="240" w:lineRule="auto"/>
              <w:ind w:right="-108"/>
              <w:rPr>
                <w:rFonts w:ascii="Arial" w:hAnsi="Arial" w:cs="Arial"/>
              </w:rPr>
            </w:pPr>
          </w:p>
          <w:p w14:paraId="29BC51DD" w14:textId="77777777" w:rsidR="0086238C" w:rsidRDefault="0086238C" w:rsidP="00BC7B11">
            <w:pPr>
              <w:pStyle w:val="NoSpacing"/>
              <w:spacing w:line="240" w:lineRule="auto"/>
              <w:ind w:right="-108"/>
              <w:rPr>
                <w:rFonts w:ascii="Arial" w:hAnsi="Arial" w:cs="Arial"/>
              </w:rPr>
            </w:pPr>
          </w:p>
          <w:p w14:paraId="389D510B" w14:textId="77777777" w:rsidR="0086238C" w:rsidRDefault="0086238C" w:rsidP="00BC7B11">
            <w:pPr>
              <w:pStyle w:val="NoSpacing"/>
              <w:spacing w:line="240" w:lineRule="auto"/>
              <w:ind w:right="-108"/>
              <w:rPr>
                <w:rFonts w:ascii="Arial" w:hAnsi="Arial" w:cs="Arial"/>
              </w:rPr>
            </w:pPr>
          </w:p>
          <w:p w14:paraId="063AF0F6" w14:textId="77777777" w:rsidR="0086238C" w:rsidRDefault="0086238C" w:rsidP="00BC7B11">
            <w:pPr>
              <w:pStyle w:val="NoSpacing"/>
              <w:spacing w:line="240" w:lineRule="auto"/>
              <w:ind w:right="-108"/>
              <w:rPr>
                <w:rFonts w:ascii="Arial" w:hAnsi="Arial" w:cs="Arial"/>
              </w:rPr>
            </w:pPr>
          </w:p>
          <w:p w14:paraId="1E3AB84E" w14:textId="77777777" w:rsidR="0086238C" w:rsidRDefault="0086238C" w:rsidP="00BC7B11">
            <w:pPr>
              <w:pStyle w:val="NoSpacing"/>
              <w:spacing w:line="240" w:lineRule="auto"/>
              <w:ind w:right="-108"/>
              <w:rPr>
                <w:rFonts w:ascii="Arial" w:hAnsi="Arial" w:cs="Arial"/>
              </w:rPr>
            </w:pPr>
          </w:p>
          <w:p w14:paraId="4DBD3EE2" w14:textId="43CA5752" w:rsidR="0086238C" w:rsidRDefault="0086238C">
            <w:pPr>
              <w:pStyle w:val="NoSpacing"/>
              <w:spacing w:line="240" w:lineRule="auto"/>
              <w:ind w:right="-108"/>
              <w:rPr>
                <w:rFonts w:ascii="Arial" w:hAnsi="Arial" w:cs="Arial"/>
              </w:rPr>
            </w:pPr>
          </w:p>
          <w:p w14:paraId="4484B0EB" w14:textId="3183EFD4" w:rsidR="00A541DF" w:rsidRDefault="00A541DF">
            <w:pPr>
              <w:pStyle w:val="NoSpacing"/>
              <w:spacing w:line="240" w:lineRule="auto"/>
              <w:ind w:right="-108"/>
              <w:rPr>
                <w:rFonts w:ascii="Arial" w:hAnsi="Arial" w:cs="Arial"/>
              </w:rPr>
            </w:pPr>
          </w:p>
          <w:p w14:paraId="2D94644B" w14:textId="30D867A4" w:rsidR="00A541DF" w:rsidRDefault="00A541DF">
            <w:pPr>
              <w:pStyle w:val="NoSpacing"/>
              <w:spacing w:line="240" w:lineRule="auto"/>
              <w:ind w:right="-108"/>
              <w:rPr>
                <w:rFonts w:ascii="Arial" w:hAnsi="Arial" w:cs="Arial"/>
              </w:rPr>
            </w:pPr>
          </w:p>
          <w:p w14:paraId="790CC29C" w14:textId="7992D82C" w:rsidR="00A541DF" w:rsidRDefault="00A541DF">
            <w:pPr>
              <w:pStyle w:val="NoSpacing"/>
              <w:spacing w:line="240" w:lineRule="auto"/>
              <w:ind w:right="-108"/>
              <w:rPr>
                <w:rFonts w:ascii="Arial" w:hAnsi="Arial" w:cs="Arial"/>
              </w:rPr>
            </w:pPr>
          </w:p>
          <w:p w14:paraId="39C97F62" w14:textId="77777777" w:rsidR="0086238C" w:rsidRDefault="0086238C" w:rsidP="00BC7B11">
            <w:pPr>
              <w:pStyle w:val="NoSpacing"/>
              <w:spacing w:line="240" w:lineRule="auto"/>
              <w:ind w:right="-108"/>
              <w:rPr>
                <w:rFonts w:ascii="Arial" w:hAnsi="Arial" w:cs="Arial"/>
              </w:rPr>
            </w:pPr>
          </w:p>
          <w:p w14:paraId="0228B031" w14:textId="7730C463" w:rsidR="0086238C" w:rsidRDefault="0026724A" w:rsidP="00BC7B11">
            <w:pPr>
              <w:pStyle w:val="NoSpacing"/>
              <w:spacing w:line="240" w:lineRule="auto"/>
              <w:ind w:right="-108"/>
              <w:rPr>
                <w:rFonts w:ascii="Arial" w:hAnsi="Arial" w:cs="Arial"/>
              </w:rPr>
            </w:pPr>
            <w:r w:rsidRPr="00C24152">
              <w:rPr>
                <w:rFonts w:ascii="Arial" w:hAnsi="Arial" w:cs="Arial"/>
              </w:rPr>
              <w:t>Partially Implemented.</w:t>
            </w:r>
            <w:r>
              <w:rPr>
                <w:rFonts w:ascii="Arial" w:hAnsi="Arial" w:cs="Arial"/>
              </w:rPr>
              <w:t xml:space="preserve"> </w:t>
            </w:r>
          </w:p>
          <w:p w14:paraId="6DFBF641" w14:textId="77777777" w:rsidR="0086238C" w:rsidRDefault="0086238C" w:rsidP="00BC7B11">
            <w:pPr>
              <w:pStyle w:val="NoSpacing"/>
              <w:spacing w:line="240" w:lineRule="auto"/>
              <w:ind w:left="25" w:right="-108"/>
              <w:rPr>
                <w:rFonts w:ascii="Arial" w:hAnsi="Arial" w:cs="Arial"/>
              </w:rPr>
            </w:pPr>
          </w:p>
          <w:p w14:paraId="76230D21" w14:textId="77777777" w:rsidR="0086238C" w:rsidRDefault="004C4BCE" w:rsidP="00BC7B11">
            <w:pPr>
              <w:pStyle w:val="NoSpacing"/>
              <w:spacing w:line="240" w:lineRule="auto"/>
              <w:ind w:left="25" w:right="-43"/>
              <w:rPr>
                <w:rFonts w:ascii="Arial" w:hAnsi="Arial" w:cs="Arial"/>
              </w:rPr>
            </w:pPr>
            <w:r w:rsidRPr="004C4BCE">
              <w:rPr>
                <w:rFonts w:ascii="Arial" w:hAnsi="Arial" w:cs="Arial"/>
              </w:rPr>
              <w:t xml:space="preserve">Management issued Special Order No. 0535 dated July 3, 2019 on the creation of the NTA Asset Inventory Management (AIM) Committee. AIM Memorandum No. 3 was issued to </w:t>
            </w:r>
            <w:r w:rsidR="00591D8A">
              <w:rPr>
                <w:rFonts w:ascii="Arial" w:hAnsi="Arial" w:cs="Arial"/>
              </w:rPr>
              <w:lastRenderedPageBreak/>
              <w:t xml:space="preserve">the </w:t>
            </w:r>
            <w:r w:rsidRPr="004C4BCE">
              <w:rPr>
                <w:rFonts w:ascii="Arial" w:hAnsi="Arial" w:cs="Arial"/>
              </w:rPr>
              <w:t>Chief Budget Officer</w:t>
            </w:r>
            <w:r w:rsidR="00591D8A">
              <w:rPr>
                <w:rFonts w:ascii="Arial" w:hAnsi="Arial" w:cs="Arial"/>
              </w:rPr>
              <w:t xml:space="preserve"> </w:t>
            </w:r>
            <w:r w:rsidRPr="004C4BCE">
              <w:rPr>
                <w:rFonts w:ascii="Arial" w:hAnsi="Arial" w:cs="Arial"/>
              </w:rPr>
              <w:t>to surrender and turn-over all original copies of land titles in the name of NTA</w:t>
            </w:r>
            <w:r w:rsidR="00591D8A">
              <w:rPr>
                <w:rFonts w:ascii="Arial" w:hAnsi="Arial" w:cs="Arial"/>
              </w:rPr>
              <w:t xml:space="preserve"> to the Committee</w:t>
            </w:r>
            <w:r w:rsidRPr="004C4BCE">
              <w:rPr>
                <w:rFonts w:ascii="Arial" w:hAnsi="Arial" w:cs="Arial"/>
              </w:rPr>
              <w:t>.</w:t>
            </w:r>
          </w:p>
          <w:p w14:paraId="39BBA2F3" w14:textId="77777777" w:rsidR="0086238C" w:rsidRPr="00B47F2A" w:rsidRDefault="0086238C" w:rsidP="00BC7B11">
            <w:pPr>
              <w:pStyle w:val="NoSpacing"/>
              <w:spacing w:line="240" w:lineRule="auto"/>
              <w:ind w:left="25" w:right="-43"/>
              <w:rPr>
                <w:rFonts w:ascii="Arial Narrow" w:hAnsi="Arial Narrow"/>
                <w:sz w:val="20"/>
                <w:szCs w:val="20"/>
              </w:rPr>
            </w:pPr>
          </w:p>
          <w:p w14:paraId="6E6716C5" w14:textId="3A621935" w:rsidR="0086238C" w:rsidRPr="00A14272" w:rsidRDefault="0026724A" w:rsidP="00BC7B11">
            <w:pPr>
              <w:pStyle w:val="NoSpacing"/>
              <w:spacing w:line="240" w:lineRule="auto"/>
              <w:ind w:right="-108"/>
              <w:rPr>
                <w:rFonts w:ascii="Arial" w:hAnsi="Arial" w:cs="Arial"/>
              </w:rPr>
            </w:pPr>
            <w:r w:rsidRPr="00C24152">
              <w:rPr>
                <w:rFonts w:ascii="Arial" w:hAnsi="Arial" w:cs="Arial"/>
              </w:rPr>
              <w:t>Partially Implemented.</w:t>
            </w:r>
            <w:r w:rsidRPr="00A14272">
              <w:rPr>
                <w:rFonts w:ascii="Arial" w:hAnsi="Arial" w:cs="Arial"/>
              </w:rPr>
              <w:t xml:space="preserve"> </w:t>
            </w:r>
          </w:p>
          <w:p w14:paraId="03E18340" w14:textId="77777777" w:rsidR="0086238C" w:rsidRPr="00A14272" w:rsidRDefault="0086238C" w:rsidP="00BC7B11">
            <w:pPr>
              <w:pStyle w:val="NoSpacing"/>
              <w:spacing w:line="240" w:lineRule="auto"/>
              <w:ind w:left="25" w:right="-43"/>
              <w:rPr>
                <w:rFonts w:ascii="Arial" w:hAnsi="Arial" w:cs="Arial"/>
              </w:rPr>
            </w:pPr>
          </w:p>
          <w:p w14:paraId="7D74CF24" w14:textId="4A61D94A" w:rsidR="0086238C" w:rsidRDefault="008C0096" w:rsidP="00BC7B11">
            <w:pPr>
              <w:pStyle w:val="NoSpacing"/>
              <w:spacing w:line="240" w:lineRule="auto"/>
              <w:ind w:left="25" w:right="-43"/>
              <w:rPr>
                <w:rFonts w:ascii="Arial" w:hAnsi="Arial" w:cs="Arial"/>
              </w:rPr>
            </w:pPr>
            <w:r w:rsidRPr="00A14272">
              <w:rPr>
                <w:rFonts w:ascii="Arial" w:hAnsi="Arial" w:cs="Arial"/>
              </w:rPr>
              <w:t xml:space="preserve">The </w:t>
            </w:r>
            <w:r w:rsidR="004C4BCE" w:rsidRPr="00A14272">
              <w:rPr>
                <w:rFonts w:ascii="Arial" w:hAnsi="Arial" w:cs="Arial"/>
              </w:rPr>
              <w:t>Accounting Division</w:t>
            </w:r>
            <w:r w:rsidR="004C4BCE" w:rsidRPr="004C4BCE">
              <w:rPr>
                <w:rFonts w:ascii="Arial" w:hAnsi="Arial" w:cs="Arial"/>
              </w:rPr>
              <w:t xml:space="preserve"> ha</w:t>
            </w:r>
            <w:r>
              <w:rPr>
                <w:rFonts w:ascii="Arial" w:hAnsi="Arial" w:cs="Arial"/>
              </w:rPr>
              <w:t>d</w:t>
            </w:r>
            <w:r w:rsidR="004C4BCE" w:rsidRPr="004C4BCE">
              <w:rPr>
                <w:rFonts w:ascii="Arial" w:hAnsi="Arial" w:cs="Arial"/>
              </w:rPr>
              <w:t xml:space="preserve"> established the variance of P211</w:t>
            </w:r>
            <w:r w:rsidR="001B7827">
              <w:rPr>
                <w:rFonts w:ascii="Arial" w:hAnsi="Arial" w:cs="Arial"/>
              </w:rPr>
              <w:t>.</w:t>
            </w:r>
            <w:r w:rsidR="004C4BCE" w:rsidRPr="004C4BCE">
              <w:rPr>
                <w:rFonts w:ascii="Arial" w:hAnsi="Arial" w:cs="Arial"/>
              </w:rPr>
              <w:t>070</w:t>
            </w:r>
            <w:r w:rsidR="001B7827">
              <w:rPr>
                <w:rFonts w:ascii="Arial" w:hAnsi="Arial" w:cs="Arial"/>
              </w:rPr>
              <w:t xml:space="preserve"> million </w:t>
            </w:r>
            <w:r w:rsidR="004C4BCE" w:rsidRPr="004C4BCE">
              <w:rPr>
                <w:rFonts w:ascii="Arial" w:hAnsi="Arial" w:cs="Arial"/>
              </w:rPr>
              <w:t xml:space="preserve">on the land. </w:t>
            </w:r>
            <w:r w:rsidR="009A4FEC">
              <w:rPr>
                <w:rFonts w:ascii="Arial" w:hAnsi="Arial" w:cs="Arial"/>
              </w:rPr>
              <w:t>However, no adjustments ha</w:t>
            </w:r>
            <w:r w:rsidR="00BA3589">
              <w:rPr>
                <w:rFonts w:ascii="Arial" w:hAnsi="Arial" w:cs="Arial"/>
              </w:rPr>
              <w:t>d</w:t>
            </w:r>
            <w:r w:rsidR="009A4FEC">
              <w:rPr>
                <w:rFonts w:ascii="Arial" w:hAnsi="Arial" w:cs="Arial"/>
              </w:rPr>
              <w:t xml:space="preserve"> been effected as of year</w:t>
            </w:r>
            <w:r w:rsidR="005528B2">
              <w:rPr>
                <w:rFonts w:ascii="Arial" w:hAnsi="Arial" w:cs="Arial"/>
              </w:rPr>
              <w:t>-</w:t>
            </w:r>
            <w:r w:rsidR="009A4FEC">
              <w:rPr>
                <w:rFonts w:ascii="Arial" w:hAnsi="Arial" w:cs="Arial"/>
              </w:rPr>
              <w:t xml:space="preserve">end. </w:t>
            </w:r>
          </w:p>
          <w:p w14:paraId="053B8E52" w14:textId="77777777" w:rsidR="0086238C" w:rsidRPr="00BC7B11" w:rsidRDefault="0086238C" w:rsidP="00BC7B11">
            <w:pPr>
              <w:pStyle w:val="NoSpacing"/>
              <w:spacing w:line="240" w:lineRule="auto"/>
              <w:ind w:left="25" w:right="-43"/>
              <w:rPr>
                <w:rFonts w:ascii="Arial Narrow" w:hAnsi="Arial Narrow"/>
                <w:sz w:val="26"/>
                <w:szCs w:val="26"/>
              </w:rPr>
            </w:pPr>
          </w:p>
          <w:p w14:paraId="088E9DD3" w14:textId="046A8EC2" w:rsidR="0086238C" w:rsidRDefault="0086238C" w:rsidP="00BC7B11">
            <w:pPr>
              <w:pStyle w:val="NoSpacing"/>
              <w:spacing w:line="240" w:lineRule="auto"/>
              <w:ind w:right="-43"/>
              <w:rPr>
                <w:rFonts w:ascii="Arial Narrow" w:hAnsi="Arial Narrow"/>
                <w:sz w:val="20"/>
                <w:szCs w:val="20"/>
              </w:rPr>
            </w:pPr>
          </w:p>
          <w:p w14:paraId="06F350DE" w14:textId="3F720474" w:rsidR="009F4836" w:rsidRDefault="009F4836" w:rsidP="00BC7B11">
            <w:pPr>
              <w:pStyle w:val="NoSpacing"/>
              <w:spacing w:line="240" w:lineRule="auto"/>
              <w:ind w:right="-43"/>
              <w:rPr>
                <w:rFonts w:ascii="Arial Narrow" w:hAnsi="Arial Narrow"/>
                <w:sz w:val="20"/>
                <w:szCs w:val="20"/>
              </w:rPr>
            </w:pPr>
          </w:p>
          <w:p w14:paraId="624955CE" w14:textId="77777777" w:rsidR="0086238C" w:rsidRDefault="0086238C" w:rsidP="00BC7B11">
            <w:pPr>
              <w:pStyle w:val="NoSpacing"/>
              <w:spacing w:line="240" w:lineRule="auto"/>
              <w:ind w:right="-43"/>
              <w:rPr>
                <w:rFonts w:ascii="Arial Narrow" w:hAnsi="Arial Narrow"/>
                <w:sz w:val="20"/>
                <w:szCs w:val="20"/>
              </w:rPr>
            </w:pPr>
          </w:p>
          <w:p w14:paraId="22BF68A6" w14:textId="260B4540" w:rsidR="008C0096" w:rsidRDefault="008C0096" w:rsidP="00BC7B11">
            <w:pPr>
              <w:pStyle w:val="NoSpacing"/>
              <w:spacing w:line="240" w:lineRule="auto"/>
              <w:ind w:right="-43"/>
              <w:rPr>
                <w:rFonts w:ascii="Arial Narrow" w:hAnsi="Arial Narrow"/>
                <w:sz w:val="24"/>
                <w:szCs w:val="24"/>
              </w:rPr>
            </w:pPr>
          </w:p>
          <w:p w14:paraId="196C6612" w14:textId="77777777" w:rsidR="00394830" w:rsidRPr="00C24152" w:rsidRDefault="00394830" w:rsidP="00BC7B11">
            <w:pPr>
              <w:pStyle w:val="NoSpacing"/>
              <w:spacing w:line="240" w:lineRule="auto"/>
              <w:ind w:right="-43"/>
              <w:rPr>
                <w:rFonts w:ascii="Arial Narrow" w:hAnsi="Arial Narrow"/>
                <w:sz w:val="24"/>
                <w:szCs w:val="24"/>
              </w:rPr>
            </w:pPr>
          </w:p>
          <w:p w14:paraId="326DBBD8" w14:textId="12C7055C" w:rsidR="0086238C" w:rsidRPr="00A14272" w:rsidRDefault="0026724A" w:rsidP="00BC7B11">
            <w:pPr>
              <w:pStyle w:val="NoSpacing"/>
              <w:spacing w:line="240" w:lineRule="auto"/>
              <w:ind w:right="-108"/>
              <w:rPr>
                <w:rFonts w:ascii="Arial" w:hAnsi="Arial" w:cs="Arial"/>
              </w:rPr>
            </w:pPr>
            <w:r w:rsidRPr="00C24152">
              <w:rPr>
                <w:rFonts w:ascii="Arial" w:hAnsi="Arial" w:cs="Arial"/>
              </w:rPr>
              <w:t>Not Implemented.</w:t>
            </w:r>
            <w:r w:rsidRPr="00A14272">
              <w:rPr>
                <w:rFonts w:ascii="Arial" w:hAnsi="Arial" w:cs="Arial"/>
              </w:rPr>
              <w:t xml:space="preserve"> </w:t>
            </w:r>
          </w:p>
          <w:p w14:paraId="36CC188C" w14:textId="77777777" w:rsidR="0086238C" w:rsidRPr="00A14272" w:rsidRDefault="0086238C" w:rsidP="00BC7B11">
            <w:pPr>
              <w:pStyle w:val="NoSpacing"/>
              <w:spacing w:line="240" w:lineRule="auto"/>
              <w:ind w:left="25" w:right="-43"/>
              <w:rPr>
                <w:rFonts w:ascii="Arial Narrow" w:hAnsi="Arial Narrow"/>
                <w:sz w:val="20"/>
                <w:szCs w:val="20"/>
              </w:rPr>
            </w:pPr>
          </w:p>
          <w:p w14:paraId="1A61A1FB" w14:textId="77777777" w:rsidR="005B08C6" w:rsidRPr="00A14272" w:rsidRDefault="005B08C6" w:rsidP="00BC7B11">
            <w:pPr>
              <w:pStyle w:val="NoSpacing"/>
              <w:spacing w:line="240" w:lineRule="auto"/>
              <w:ind w:left="25" w:right="-43"/>
              <w:rPr>
                <w:rFonts w:ascii="Arial" w:hAnsi="Arial" w:cs="Arial"/>
              </w:rPr>
            </w:pPr>
          </w:p>
          <w:p w14:paraId="7BE53DED" w14:textId="77777777" w:rsidR="000F2409" w:rsidRPr="00A14272" w:rsidRDefault="000F2409" w:rsidP="00BC7B11">
            <w:pPr>
              <w:pStyle w:val="NoSpacing"/>
              <w:spacing w:line="240" w:lineRule="auto"/>
              <w:ind w:left="25" w:right="-43"/>
              <w:rPr>
                <w:rFonts w:ascii="Arial" w:hAnsi="Arial" w:cs="Arial"/>
              </w:rPr>
            </w:pPr>
          </w:p>
          <w:p w14:paraId="2485B47F" w14:textId="77777777" w:rsidR="000F2409" w:rsidRPr="00A14272" w:rsidRDefault="000F2409" w:rsidP="00BC7B11">
            <w:pPr>
              <w:pStyle w:val="NoSpacing"/>
              <w:spacing w:line="240" w:lineRule="auto"/>
              <w:ind w:left="25" w:right="-43"/>
              <w:rPr>
                <w:rFonts w:ascii="Arial" w:hAnsi="Arial" w:cs="Arial"/>
              </w:rPr>
            </w:pPr>
          </w:p>
          <w:p w14:paraId="386A284E" w14:textId="77777777" w:rsidR="000F2409" w:rsidRPr="00A14272" w:rsidRDefault="000F2409" w:rsidP="00BC7B11">
            <w:pPr>
              <w:pStyle w:val="NoSpacing"/>
              <w:spacing w:line="240" w:lineRule="auto"/>
              <w:ind w:left="25" w:right="-43"/>
              <w:rPr>
                <w:rFonts w:ascii="Arial" w:hAnsi="Arial" w:cs="Arial"/>
              </w:rPr>
            </w:pPr>
          </w:p>
          <w:p w14:paraId="15FC543A" w14:textId="6AC2495B" w:rsidR="0026724A" w:rsidRPr="00A14272" w:rsidRDefault="0026724A" w:rsidP="00BC7B11">
            <w:pPr>
              <w:pStyle w:val="NoSpacing"/>
              <w:spacing w:line="240" w:lineRule="auto"/>
              <w:ind w:right="-108"/>
              <w:rPr>
                <w:rFonts w:ascii="Arial" w:hAnsi="Arial" w:cs="Arial"/>
              </w:rPr>
            </w:pPr>
          </w:p>
          <w:p w14:paraId="75ADF41F" w14:textId="77777777" w:rsidR="00FA3F02" w:rsidRDefault="00FA3F02" w:rsidP="00BC7B11">
            <w:pPr>
              <w:pStyle w:val="NoSpacing"/>
              <w:spacing w:line="240" w:lineRule="auto"/>
              <w:ind w:right="-108"/>
              <w:rPr>
                <w:rFonts w:ascii="Arial" w:hAnsi="Arial" w:cs="Arial"/>
              </w:rPr>
            </w:pPr>
            <w:r w:rsidRPr="00C24152">
              <w:rPr>
                <w:rFonts w:ascii="Arial" w:hAnsi="Arial" w:cs="Arial"/>
              </w:rPr>
              <w:t>Partially Implemented</w:t>
            </w:r>
            <w:r>
              <w:rPr>
                <w:rFonts w:ascii="Arial" w:hAnsi="Arial" w:cs="Arial"/>
              </w:rPr>
              <w:t xml:space="preserve"> </w:t>
            </w:r>
          </w:p>
          <w:p w14:paraId="153AE0BA" w14:textId="39A03F82" w:rsidR="0086238C" w:rsidRDefault="0086238C" w:rsidP="00FA3F02">
            <w:pPr>
              <w:pStyle w:val="NoSpacing"/>
              <w:spacing w:line="240" w:lineRule="auto"/>
              <w:ind w:right="-108"/>
              <w:rPr>
                <w:rFonts w:ascii="Arial" w:hAnsi="Arial" w:cs="Arial"/>
              </w:rPr>
            </w:pPr>
          </w:p>
          <w:p w14:paraId="38AAEF0B" w14:textId="4CA028E5" w:rsidR="00FA3F02" w:rsidRDefault="004C4BCE" w:rsidP="00FA3F02">
            <w:pPr>
              <w:pStyle w:val="NoSpacing"/>
              <w:spacing w:line="240" w:lineRule="auto"/>
              <w:ind w:left="25" w:right="-43"/>
              <w:rPr>
                <w:rFonts w:ascii="Arial" w:hAnsi="Arial" w:cs="Arial"/>
              </w:rPr>
            </w:pPr>
            <w:r w:rsidRPr="004C4BCE">
              <w:rPr>
                <w:rFonts w:ascii="Arial" w:hAnsi="Arial" w:cs="Arial"/>
              </w:rPr>
              <w:t xml:space="preserve">The unrecognized gain on sale on the sale of land in Paco Manila </w:t>
            </w:r>
            <w:r w:rsidR="000F2409">
              <w:rPr>
                <w:rFonts w:ascii="Arial" w:hAnsi="Arial" w:cs="Arial"/>
              </w:rPr>
              <w:t xml:space="preserve">was </w:t>
            </w:r>
            <w:r w:rsidRPr="004C4BCE">
              <w:rPr>
                <w:rFonts w:ascii="Arial" w:hAnsi="Arial" w:cs="Arial"/>
              </w:rPr>
              <w:t xml:space="preserve">adjusted </w:t>
            </w:r>
            <w:r w:rsidR="000F2409">
              <w:rPr>
                <w:rFonts w:ascii="Arial" w:hAnsi="Arial" w:cs="Arial"/>
              </w:rPr>
              <w:t xml:space="preserve">under </w:t>
            </w:r>
            <w:r w:rsidR="00FA3F02" w:rsidRPr="000728C9">
              <w:rPr>
                <w:rFonts w:ascii="Arial" w:hAnsi="Arial" w:cs="Arial"/>
              </w:rPr>
              <w:t>J</w:t>
            </w:r>
            <w:r w:rsidR="000728C9" w:rsidRPr="000728C9">
              <w:rPr>
                <w:rFonts w:ascii="Arial" w:hAnsi="Arial" w:cs="Arial"/>
              </w:rPr>
              <w:t>E</w:t>
            </w:r>
            <w:r w:rsidR="00FA3F02" w:rsidRPr="000728C9">
              <w:rPr>
                <w:rFonts w:ascii="Arial" w:hAnsi="Arial" w:cs="Arial"/>
              </w:rPr>
              <w:t xml:space="preserve">V No. </w:t>
            </w:r>
            <w:r w:rsidR="000728C9" w:rsidRPr="000728C9">
              <w:rPr>
                <w:rFonts w:ascii="Arial" w:hAnsi="Arial" w:cs="Arial"/>
              </w:rPr>
              <w:t>2276456</w:t>
            </w:r>
            <w:r w:rsidR="00EF62CF">
              <w:rPr>
                <w:rFonts w:ascii="Arial" w:hAnsi="Arial" w:cs="Arial"/>
              </w:rPr>
              <w:t xml:space="preserve"> </w:t>
            </w:r>
            <w:r w:rsidR="00EF62CF" w:rsidRPr="001E7AA3">
              <w:rPr>
                <w:rFonts w:ascii="Arial" w:hAnsi="Arial" w:cs="Arial"/>
              </w:rPr>
              <w:t>dated</w:t>
            </w:r>
            <w:r w:rsidR="00EF62CF" w:rsidRPr="00C24152">
              <w:rPr>
                <w:rFonts w:ascii="Arial" w:hAnsi="Arial" w:cs="Arial"/>
                <w:color w:val="FF0000"/>
              </w:rPr>
              <w:t xml:space="preserve"> </w:t>
            </w:r>
            <w:r w:rsidR="00CC4969" w:rsidRPr="00C24152">
              <w:rPr>
                <w:rFonts w:ascii="Arial" w:hAnsi="Arial" w:cs="Arial"/>
              </w:rPr>
              <w:t>December 2019</w:t>
            </w:r>
            <w:r w:rsidR="00FA3F02" w:rsidRPr="00A14272">
              <w:rPr>
                <w:rFonts w:ascii="Arial" w:hAnsi="Arial" w:cs="Arial"/>
              </w:rPr>
              <w:t>.</w:t>
            </w:r>
            <w:r w:rsidR="000728C9" w:rsidRPr="00A14272">
              <w:rPr>
                <w:rFonts w:ascii="Arial" w:hAnsi="Arial" w:cs="Arial"/>
              </w:rPr>
              <w:t xml:space="preserve"> </w:t>
            </w:r>
            <w:r w:rsidR="000728C9" w:rsidRPr="001E7AA3">
              <w:rPr>
                <w:rFonts w:ascii="Arial" w:hAnsi="Arial" w:cs="Arial"/>
              </w:rPr>
              <w:t>Ho</w:t>
            </w:r>
            <w:r w:rsidR="00FA3F02" w:rsidRPr="001E7AA3">
              <w:rPr>
                <w:rFonts w:ascii="Arial" w:hAnsi="Arial" w:cs="Arial"/>
              </w:rPr>
              <w:t>wev</w:t>
            </w:r>
            <w:r w:rsidR="00FA3F02" w:rsidRPr="00CC4969">
              <w:rPr>
                <w:rFonts w:ascii="Arial" w:hAnsi="Arial" w:cs="Arial"/>
              </w:rPr>
              <w:t>er,</w:t>
            </w:r>
            <w:r w:rsidR="000728C9">
              <w:rPr>
                <w:rFonts w:ascii="Arial" w:hAnsi="Arial" w:cs="Arial"/>
              </w:rPr>
              <w:t xml:space="preserve"> </w:t>
            </w:r>
            <w:r w:rsidR="00FA3F02">
              <w:rPr>
                <w:rFonts w:ascii="Arial" w:hAnsi="Arial" w:cs="Arial"/>
              </w:rPr>
              <w:t xml:space="preserve">said properties were not </w:t>
            </w:r>
            <w:r w:rsidR="00EF62CF">
              <w:rPr>
                <w:rFonts w:ascii="Arial" w:hAnsi="Arial" w:cs="Arial"/>
              </w:rPr>
              <w:t xml:space="preserve">yet </w:t>
            </w:r>
            <w:r w:rsidR="00FA3F02">
              <w:rPr>
                <w:rFonts w:ascii="Arial" w:hAnsi="Arial" w:cs="Arial"/>
              </w:rPr>
              <w:t xml:space="preserve">dropped in the property records. </w:t>
            </w:r>
          </w:p>
          <w:p w14:paraId="489DE865" w14:textId="77777777" w:rsidR="00E7749A" w:rsidRPr="00B47F2A" w:rsidRDefault="00E7749A" w:rsidP="00FA3F02">
            <w:pPr>
              <w:pStyle w:val="NoSpacing"/>
              <w:spacing w:line="240" w:lineRule="auto"/>
              <w:ind w:left="25" w:right="-43"/>
              <w:rPr>
                <w:rFonts w:ascii="Arial" w:hAnsi="Arial" w:cs="Arial"/>
              </w:rPr>
            </w:pPr>
          </w:p>
          <w:p w14:paraId="282CEF58" w14:textId="4CE57C58" w:rsidR="0086238C" w:rsidRPr="00A14272" w:rsidRDefault="00E7749A" w:rsidP="00FA3F02">
            <w:pPr>
              <w:pStyle w:val="NoSpacing"/>
              <w:spacing w:line="240" w:lineRule="auto"/>
              <w:ind w:left="25" w:right="-43"/>
              <w:rPr>
                <w:rFonts w:ascii="Arial" w:hAnsi="Arial" w:cs="Arial"/>
                <w:color w:val="000000" w:themeColor="text1"/>
              </w:rPr>
            </w:pPr>
            <w:r w:rsidRPr="00C24152">
              <w:rPr>
                <w:rFonts w:ascii="Arial" w:hAnsi="Arial" w:cs="Arial"/>
              </w:rPr>
              <w:t>Not Implemented.</w:t>
            </w:r>
            <w:r w:rsidRPr="00A14272">
              <w:rPr>
                <w:rFonts w:ascii="Arial" w:hAnsi="Arial" w:cs="Arial"/>
              </w:rPr>
              <w:t xml:space="preserve"> </w:t>
            </w:r>
          </w:p>
          <w:p w14:paraId="5EE6C355" w14:textId="77777777" w:rsidR="0086238C" w:rsidRPr="00A14272" w:rsidRDefault="0086238C" w:rsidP="00BC7B11">
            <w:pPr>
              <w:pStyle w:val="NoSpacing"/>
              <w:spacing w:line="240" w:lineRule="auto"/>
              <w:ind w:right="-108"/>
              <w:rPr>
                <w:rFonts w:ascii="Arial" w:hAnsi="Arial" w:cs="Arial"/>
              </w:rPr>
            </w:pPr>
          </w:p>
          <w:p w14:paraId="62FCA7E1" w14:textId="77777777" w:rsidR="000728C9" w:rsidRPr="00A14272" w:rsidRDefault="000728C9" w:rsidP="000728C9">
            <w:pPr>
              <w:pStyle w:val="NoSpacing"/>
              <w:spacing w:line="240" w:lineRule="auto"/>
              <w:ind w:left="25" w:right="-43"/>
              <w:rPr>
                <w:rFonts w:ascii="Arial" w:hAnsi="Arial" w:cs="Arial"/>
              </w:rPr>
            </w:pPr>
          </w:p>
          <w:p w14:paraId="15EE294E" w14:textId="77777777" w:rsidR="00C462E0" w:rsidRPr="00A14272" w:rsidRDefault="00C462E0" w:rsidP="00C24152">
            <w:pPr>
              <w:pStyle w:val="NoSpacing"/>
              <w:spacing w:line="240" w:lineRule="auto"/>
              <w:ind w:right="-43"/>
              <w:rPr>
                <w:rFonts w:ascii="Arial" w:hAnsi="Arial" w:cs="Arial"/>
              </w:rPr>
            </w:pPr>
          </w:p>
          <w:p w14:paraId="5E73BEB3" w14:textId="2D630079" w:rsidR="0086238C" w:rsidRDefault="00E7749A" w:rsidP="00BC7B11">
            <w:pPr>
              <w:pStyle w:val="NoSpacing"/>
              <w:spacing w:line="240" w:lineRule="auto"/>
              <w:ind w:right="-108"/>
              <w:rPr>
                <w:rFonts w:ascii="Arial" w:hAnsi="Arial" w:cs="Arial"/>
              </w:rPr>
            </w:pPr>
            <w:r w:rsidRPr="00C24152">
              <w:rPr>
                <w:rFonts w:ascii="Arial" w:hAnsi="Arial" w:cs="Arial"/>
              </w:rPr>
              <w:t>Partially Implemented.</w:t>
            </w:r>
            <w:r>
              <w:rPr>
                <w:rFonts w:ascii="Arial" w:hAnsi="Arial" w:cs="Arial"/>
              </w:rPr>
              <w:t xml:space="preserve"> </w:t>
            </w:r>
          </w:p>
          <w:p w14:paraId="1967D33D" w14:textId="77777777" w:rsidR="0086238C" w:rsidRDefault="0086238C" w:rsidP="00BC7B11">
            <w:pPr>
              <w:pStyle w:val="NoSpacing"/>
              <w:spacing w:line="240" w:lineRule="auto"/>
              <w:ind w:left="25" w:right="-43"/>
              <w:rPr>
                <w:rFonts w:ascii="Arial" w:hAnsi="Arial" w:cs="Arial"/>
              </w:rPr>
            </w:pPr>
          </w:p>
          <w:p w14:paraId="37C293F2" w14:textId="0A451532" w:rsidR="0086238C" w:rsidRDefault="007E3399" w:rsidP="00C24152">
            <w:pPr>
              <w:pStyle w:val="NoSpacing"/>
              <w:spacing w:line="240" w:lineRule="auto"/>
              <w:ind w:left="25" w:right="-43"/>
              <w:rPr>
                <w:rFonts w:ascii="Arial Narrow" w:hAnsi="Arial Narrow"/>
                <w:sz w:val="20"/>
                <w:szCs w:val="20"/>
              </w:rPr>
            </w:pPr>
            <w:r w:rsidRPr="007E3399">
              <w:rPr>
                <w:rFonts w:ascii="Arial" w:hAnsi="Arial" w:cs="Arial"/>
              </w:rPr>
              <w:t xml:space="preserve">The Legal Officer has already made representation in court on </w:t>
            </w:r>
            <w:r w:rsidR="00C462E0">
              <w:rPr>
                <w:rFonts w:ascii="Arial" w:hAnsi="Arial" w:cs="Arial"/>
              </w:rPr>
              <w:t xml:space="preserve">the </w:t>
            </w:r>
            <w:r w:rsidRPr="007E3399">
              <w:rPr>
                <w:rFonts w:ascii="Arial" w:hAnsi="Arial" w:cs="Arial"/>
              </w:rPr>
              <w:t>ownership of property, particularly the Las Piñas</w:t>
            </w:r>
            <w:r w:rsidR="00C462E0">
              <w:rPr>
                <w:rFonts w:ascii="Arial" w:hAnsi="Arial" w:cs="Arial"/>
              </w:rPr>
              <w:t xml:space="preserve"> </w:t>
            </w:r>
            <w:r w:rsidRPr="007E3399">
              <w:rPr>
                <w:rFonts w:ascii="Arial" w:hAnsi="Arial" w:cs="Arial"/>
              </w:rPr>
              <w:t>and  Paco property.</w:t>
            </w:r>
          </w:p>
          <w:p w14:paraId="78E9D1F8" w14:textId="77777777" w:rsidR="00C33336" w:rsidRPr="00C24152" w:rsidRDefault="00C33336" w:rsidP="00BC7B11">
            <w:pPr>
              <w:pStyle w:val="NoSpacing"/>
              <w:spacing w:line="240" w:lineRule="auto"/>
              <w:ind w:left="25" w:right="-43"/>
              <w:rPr>
                <w:rFonts w:ascii="Arial Narrow" w:hAnsi="Arial Narrow"/>
              </w:rPr>
            </w:pPr>
          </w:p>
          <w:p w14:paraId="3EB28188" w14:textId="73BC2049" w:rsidR="0086238C" w:rsidRPr="00A14272" w:rsidRDefault="00E7749A" w:rsidP="00BC7B11">
            <w:pPr>
              <w:pStyle w:val="NoSpacing"/>
              <w:spacing w:line="240" w:lineRule="auto"/>
              <w:ind w:right="-108"/>
              <w:rPr>
                <w:rFonts w:ascii="Arial" w:hAnsi="Arial" w:cs="Arial"/>
              </w:rPr>
            </w:pPr>
            <w:r w:rsidRPr="00C24152">
              <w:rPr>
                <w:rFonts w:ascii="Arial" w:hAnsi="Arial" w:cs="Arial"/>
              </w:rPr>
              <w:t>Partially Implemented.</w:t>
            </w:r>
            <w:r w:rsidRPr="00A14272">
              <w:rPr>
                <w:rFonts w:ascii="Arial" w:hAnsi="Arial" w:cs="Arial"/>
              </w:rPr>
              <w:t xml:space="preserve"> </w:t>
            </w:r>
          </w:p>
          <w:p w14:paraId="61201758" w14:textId="77777777" w:rsidR="0086238C" w:rsidRPr="00A14272" w:rsidRDefault="0086238C" w:rsidP="00BC7B11">
            <w:pPr>
              <w:pStyle w:val="NoSpacing"/>
              <w:spacing w:line="240" w:lineRule="auto"/>
              <w:ind w:left="25" w:right="-43"/>
              <w:rPr>
                <w:rFonts w:ascii="Arial" w:hAnsi="Arial" w:cs="Arial"/>
              </w:rPr>
            </w:pPr>
          </w:p>
          <w:p w14:paraId="0EC246BA" w14:textId="460C90F0" w:rsidR="00273AA6" w:rsidRDefault="007E3399">
            <w:pPr>
              <w:pStyle w:val="NoSpacing"/>
              <w:spacing w:line="240" w:lineRule="auto"/>
              <w:ind w:left="25" w:right="-43"/>
              <w:rPr>
                <w:rFonts w:ascii="Arial" w:hAnsi="Arial" w:cs="Arial"/>
              </w:rPr>
            </w:pPr>
            <w:r w:rsidRPr="00A14272">
              <w:rPr>
                <w:rFonts w:ascii="Arial" w:hAnsi="Arial" w:cs="Arial"/>
              </w:rPr>
              <w:t>Management wr</w:t>
            </w:r>
            <w:r w:rsidR="00B913F1" w:rsidRPr="00A14272">
              <w:rPr>
                <w:rFonts w:ascii="Arial" w:hAnsi="Arial" w:cs="Arial"/>
              </w:rPr>
              <w:t>o</w:t>
            </w:r>
            <w:r w:rsidRPr="00A14272">
              <w:rPr>
                <w:rFonts w:ascii="Arial" w:hAnsi="Arial" w:cs="Arial"/>
              </w:rPr>
              <w:t>te</w:t>
            </w:r>
            <w:r w:rsidR="00B913F1" w:rsidRPr="00A14272">
              <w:rPr>
                <w:rFonts w:ascii="Arial" w:hAnsi="Arial" w:cs="Arial"/>
              </w:rPr>
              <w:t xml:space="preserve"> </w:t>
            </w:r>
            <w:r w:rsidRPr="00A14272">
              <w:rPr>
                <w:rFonts w:ascii="Arial" w:hAnsi="Arial" w:cs="Arial"/>
              </w:rPr>
              <w:t xml:space="preserve">PDIC </w:t>
            </w:r>
            <w:r w:rsidR="00B913F1" w:rsidRPr="00A14272">
              <w:rPr>
                <w:rFonts w:ascii="Arial" w:hAnsi="Arial" w:cs="Arial"/>
              </w:rPr>
              <w:t xml:space="preserve">in a letter dated </w:t>
            </w:r>
            <w:r w:rsidR="00A14272" w:rsidRPr="00C24152">
              <w:rPr>
                <w:rFonts w:ascii="Arial" w:hAnsi="Arial" w:cs="Arial"/>
              </w:rPr>
              <w:t>March 27, 2019</w:t>
            </w:r>
            <w:r w:rsidR="00B913F1" w:rsidRPr="00A14272">
              <w:rPr>
                <w:rFonts w:ascii="Arial" w:hAnsi="Arial" w:cs="Arial"/>
              </w:rPr>
              <w:t xml:space="preserve"> relative to its request for renegotiation for possible condonation of penalties and reduction in interest rate.</w:t>
            </w:r>
            <w:r w:rsidR="00B913F1" w:rsidRPr="0010461A">
              <w:rPr>
                <w:rFonts w:ascii="Arial" w:hAnsi="Arial" w:cs="Arial"/>
              </w:rPr>
              <w:t xml:space="preserve"> </w:t>
            </w:r>
          </w:p>
          <w:p w14:paraId="70A222A6" w14:textId="132F905A" w:rsidR="00E7749A" w:rsidRDefault="00E7749A" w:rsidP="00C24152">
            <w:pPr>
              <w:pStyle w:val="NoSpacing"/>
              <w:spacing w:line="240" w:lineRule="auto"/>
              <w:ind w:right="-43"/>
              <w:rPr>
                <w:rFonts w:ascii="Arial" w:hAnsi="Arial" w:cs="Arial"/>
              </w:rPr>
            </w:pPr>
          </w:p>
        </w:tc>
      </w:tr>
      <w:tr w:rsidR="00F10761" w:rsidRPr="0035547E" w14:paraId="78B4CF66" w14:textId="77777777" w:rsidTr="00C24152">
        <w:trPr>
          <w:trHeight w:val="480"/>
        </w:trPr>
        <w:tc>
          <w:tcPr>
            <w:tcW w:w="5199" w:type="dxa"/>
          </w:tcPr>
          <w:p w14:paraId="151F5AB5" w14:textId="1DACDC4D" w:rsidR="00F10761" w:rsidRDefault="00F10761" w:rsidP="00BA3589">
            <w:pPr>
              <w:pStyle w:val="NoSpacing"/>
              <w:numPr>
                <w:ilvl w:val="0"/>
                <w:numId w:val="21"/>
              </w:numPr>
              <w:tabs>
                <w:tab w:val="left" w:pos="375"/>
              </w:tabs>
              <w:spacing w:line="240" w:lineRule="auto"/>
              <w:ind w:left="-120" w:firstLine="0"/>
              <w:rPr>
                <w:rFonts w:ascii="Arial" w:hAnsi="Arial" w:cs="Arial"/>
                <w:color w:val="000000" w:themeColor="text1"/>
              </w:rPr>
            </w:pPr>
            <w:r w:rsidRPr="00F10761">
              <w:rPr>
                <w:rFonts w:ascii="Arial" w:hAnsi="Arial" w:cs="Arial"/>
                <w:color w:val="000000" w:themeColor="text1"/>
              </w:rPr>
              <w:lastRenderedPageBreak/>
              <w:t xml:space="preserve">The PPE account, excluding Land, with a carrying value of P376.603 million as at December 31, 2018 is not reliable due to: (a) discrepancy of P34.170 million between the accounting and property records of NTA–HO; (b) recognition and depreciation of PPE that are not in accordance with </w:t>
            </w:r>
            <w:bookmarkStart w:id="9" w:name="_Hlk11340517"/>
            <w:r w:rsidRPr="00F10761">
              <w:rPr>
                <w:rFonts w:ascii="Arial" w:hAnsi="Arial" w:cs="Arial"/>
                <w:color w:val="000000" w:themeColor="text1"/>
              </w:rPr>
              <w:t xml:space="preserve">paragraphs 14, 19 and 71 </w:t>
            </w:r>
            <w:bookmarkEnd w:id="9"/>
            <w:r w:rsidRPr="00F10761">
              <w:rPr>
                <w:rFonts w:ascii="Arial" w:hAnsi="Arial" w:cs="Arial"/>
                <w:color w:val="000000" w:themeColor="text1"/>
              </w:rPr>
              <w:t>of Philippine Public Sector Accounting Standards (PPSAS) 17; and (c) inclusion of properties sold thru public auction and   semi-expendable items in the PPE account of NTA Isabela Branch.</w:t>
            </w:r>
            <w:r w:rsidR="00927367">
              <w:rPr>
                <w:rFonts w:ascii="Arial" w:hAnsi="Arial" w:cs="Arial"/>
                <w:color w:val="000000" w:themeColor="text1"/>
              </w:rPr>
              <w:t xml:space="preserve"> </w:t>
            </w:r>
            <w:r w:rsidRPr="00F10761">
              <w:rPr>
                <w:rFonts w:ascii="Arial" w:hAnsi="Arial" w:cs="Arial"/>
                <w:color w:val="000000" w:themeColor="text1"/>
              </w:rPr>
              <w:t xml:space="preserve"> In addition, deficiencies in the conduct of physical count of PPE cast doubt on the existence and completeness of assets in the RPCPPE.</w:t>
            </w:r>
          </w:p>
          <w:p w14:paraId="6EE78873" w14:textId="77777777" w:rsidR="00F10761" w:rsidRDefault="00F10761" w:rsidP="00F10761">
            <w:pPr>
              <w:pStyle w:val="NoSpacing"/>
              <w:spacing w:line="240" w:lineRule="auto"/>
              <w:rPr>
                <w:rFonts w:ascii="Arial" w:hAnsi="Arial" w:cs="Arial"/>
                <w:color w:val="000000" w:themeColor="text1"/>
              </w:rPr>
            </w:pPr>
          </w:p>
          <w:p w14:paraId="436A948B" w14:textId="77777777" w:rsidR="00F10761" w:rsidRPr="00F10761" w:rsidRDefault="00F10761" w:rsidP="00F10761">
            <w:pPr>
              <w:pStyle w:val="NoSpacing"/>
              <w:spacing w:line="240" w:lineRule="auto"/>
              <w:ind w:left="-120"/>
              <w:rPr>
                <w:rFonts w:ascii="Arial" w:hAnsi="Arial" w:cs="Arial"/>
                <w:color w:val="000000" w:themeColor="text1"/>
              </w:rPr>
            </w:pPr>
            <w:r w:rsidRPr="00F10761">
              <w:rPr>
                <w:rFonts w:ascii="Arial" w:hAnsi="Arial" w:cs="Arial"/>
                <w:color w:val="000000" w:themeColor="text1"/>
              </w:rPr>
              <w:t>We recommended that Management require:</w:t>
            </w:r>
          </w:p>
          <w:p w14:paraId="6AD18092" w14:textId="77777777" w:rsidR="00F10761" w:rsidRPr="00F10761" w:rsidRDefault="00F10761" w:rsidP="00F10761">
            <w:pPr>
              <w:pStyle w:val="NoSpacing"/>
              <w:rPr>
                <w:rFonts w:ascii="Arial" w:hAnsi="Arial" w:cs="Arial"/>
                <w:color w:val="000000" w:themeColor="text1"/>
              </w:rPr>
            </w:pPr>
          </w:p>
          <w:p w14:paraId="023E4659" w14:textId="77777777" w:rsidR="00F10761" w:rsidRPr="00F10761" w:rsidRDefault="00F10761" w:rsidP="00927367">
            <w:pPr>
              <w:pStyle w:val="NoSpacing"/>
              <w:numPr>
                <w:ilvl w:val="0"/>
                <w:numId w:val="27"/>
              </w:numPr>
              <w:tabs>
                <w:tab w:val="left" w:pos="370"/>
              </w:tabs>
              <w:spacing w:line="240" w:lineRule="auto"/>
              <w:ind w:left="-120" w:firstLine="0"/>
              <w:rPr>
                <w:rFonts w:ascii="Arial" w:hAnsi="Arial" w:cs="Arial"/>
                <w:color w:val="000000" w:themeColor="text1"/>
              </w:rPr>
            </w:pPr>
            <w:r w:rsidRPr="00F10761">
              <w:rPr>
                <w:rFonts w:ascii="Arial" w:hAnsi="Arial" w:cs="Arial"/>
                <w:color w:val="000000" w:themeColor="text1"/>
              </w:rPr>
              <w:t>The Accounting and Property divisions to reconcile the accounting and property records after physical inventory taking and effect the necessary adjustments in the books and/or property records where appropriate, if any, to come up with correct balances of the PPE accounts;</w:t>
            </w:r>
          </w:p>
          <w:p w14:paraId="451D2DCF" w14:textId="77777777" w:rsidR="000B46EB" w:rsidRDefault="000B46EB" w:rsidP="00F10761">
            <w:pPr>
              <w:pStyle w:val="NoSpacing"/>
              <w:rPr>
                <w:rFonts w:ascii="Arial" w:hAnsi="Arial" w:cs="Arial"/>
                <w:color w:val="000000" w:themeColor="text1"/>
              </w:rPr>
            </w:pPr>
          </w:p>
          <w:p w14:paraId="0B733006" w14:textId="13B70130" w:rsidR="000B46EB" w:rsidRDefault="000B46EB" w:rsidP="00F10761">
            <w:pPr>
              <w:pStyle w:val="NoSpacing"/>
              <w:rPr>
                <w:rFonts w:ascii="Arial" w:hAnsi="Arial" w:cs="Arial"/>
                <w:color w:val="000000" w:themeColor="text1"/>
              </w:rPr>
            </w:pPr>
          </w:p>
          <w:p w14:paraId="6EB55B16" w14:textId="3E74543A" w:rsidR="00AD6C60" w:rsidRDefault="00AD6C60" w:rsidP="00F10761">
            <w:pPr>
              <w:pStyle w:val="NoSpacing"/>
              <w:rPr>
                <w:rFonts w:ascii="Arial" w:hAnsi="Arial" w:cs="Arial"/>
                <w:color w:val="000000" w:themeColor="text1"/>
              </w:rPr>
            </w:pPr>
          </w:p>
          <w:p w14:paraId="0FD00B04" w14:textId="77777777" w:rsidR="00AD6C60" w:rsidRDefault="00AD6C60" w:rsidP="00F10761">
            <w:pPr>
              <w:pStyle w:val="NoSpacing"/>
              <w:rPr>
                <w:rFonts w:ascii="Arial" w:hAnsi="Arial" w:cs="Arial"/>
                <w:color w:val="000000" w:themeColor="text1"/>
              </w:rPr>
            </w:pPr>
          </w:p>
          <w:p w14:paraId="5EE84BCB" w14:textId="77777777" w:rsidR="000728C9" w:rsidRPr="00C24152" w:rsidRDefault="000728C9" w:rsidP="00F10761">
            <w:pPr>
              <w:pStyle w:val="NoSpacing"/>
              <w:rPr>
                <w:rFonts w:ascii="Arial" w:hAnsi="Arial" w:cs="Arial"/>
                <w:color w:val="000000" w:themeColor="text1"/>
                <w:sz w:val="20"/>
                <w:szCs w:val="20"/>
              </w:rPr>
            </w:pPr>
          </w:p>
          <w:p w14:paraId="5D061724" w14:textId="77777777" w:rsidR="0086238C" w:rsidRDefault="00F10761" w:rsidP="00BC7B11">
            <w:pPr>
              <w:pStyle w:val="NoSpacing"/>
              <w:numPr>
                <w:ilvl w:val="0"/>
                <w:numId w:val="27"/>
              </w:numPr>
              <w:tabs>
                <w:tab w:val="left" w:pos="370"/>
              </w:tabs>
              <w:spacing w:line="240" w:lineRule="auto"/>
              <w:ind w:left="-120" w:firstLine="0"/>
              <w:rPr>
                <w:rFonts w:ascii="Arial" w:hAnsi="Arial" w:cs="Arial"/>
                <w:color w:val="000000" w:themeColor="text1"/>
              </w:rPr>
            </w:pPr>
            <w:r w:rsidRPr="00F10761">
              <w:rPr>
                <w:rFonts w:ascii="Arial" w:hAnsi="Arial" w:cs="Arial"/>
                <w:color w:val="000000" w:themeColor="text1"/>
              </w:rPr>
              <w:t>The Accounting Division to comply with the provisions of the PPSAS as to the recognition and depreciation of assets to correct any misstatements;</w:t>
            </w:r>
          </w:p>
          <w:p w14:paraId="4DB2AC6D" w14:textId="77777777" w:rsidR="00F10761" w:rsidRDefault="00F10761" w:rsidP="00F10761">
            <w:pPr>
              <w:pStyle w:val="NoSpacing"/>
              <w:rPr>
                <w:rFonts w:ascii="Arial" w:hAnsi="Arial" w:cs="Arial"/>
                <w:color w:val="000000" w:themeColor="text1"/>
              </w:rPr>
            </w:pPr>
          </w:p>
          <w:p w14:paraId="5A8D9E19" w14:textId="77777777" w:rsidR="00C75855" w:rsidRDefault="00C75855" w:rsidP="00F10761">
            <w:pPr>
              <w:pStyle w:val="NoSpacing"/>
              <w:rPr>
                <w:rFonts w:ascii="Arial" w:hAnsi="Arial" w:cs="Arial"/>
                <w:color w:val="000000" w:themeColor="text1"/>
              </w:rPr>
            </w:pPr>
          </w:p>
          <w:p w14:paraId="05F71062" w14:textId="0EB97C78" w:rsidR="003E39A0" w:rsidRDefault="003E39A0" w:rsidP="00F10761">
            <w:pPr>
              <w:pStyle w:val="NoSpacing"/>
              <w:rPr>
                <w:rFonts w:ascii="Arial" w:hAnsi="Arial" w:cs="Arial"/>
                <w:color w:val="000000" w:themeColor="text1"/>
              </w:rPr>
            </w:pPr>
          </w:p>
          <w:p w14:paraId="3022B8C0" w14:textId="77777777" w:rsidR="00D10B8B" w:rsidRDefault="00D10B8B" w:rsidP="00F10761">
            <w:pPr>
              <w:pStyle w:val="NoSpacing"/>
              <w:rPr>
                <w:rFonts w:ascii="Arial" w:hAnsi="Arial" w:cs="Arial"/>
                <w:color w:val="000000" w:themeColor="text1"/>
              </w:rPr>
            </w:pPr>
          </w:p>
          <w:p w14:paraId="723C3745" w14:textId="77777777" w:rsidR="0086238C" w:rsidRDefault="00F10761" w:rsidP="00BC7B11">
            <w:pPr>
              <w:pStyle w:val="NoSpacing"/>
              <w:numPr>
                <w:ilvl w:val="0"/>
                <w:numId w:val="27"/>
              </w:numPr>
              <w:tabs>
                <w:tab w:val="left" w:pos="370"/>
              </w:tabs>
              <w:spacing w:line="240" w:lineRule="auto"/>
              <w:ind w:left="-120" w:firstLine="0"/>
              <w:rPr>
                <w:rFonts w:ascii="Arial" w:hAnsi="Arial" w:cs="Arial"/>
                <w:color w:val="000000" w:themeColor="text1"/>
              </w:rPr>
            </w:pPr>
            <w:r w:rsidRPr="00F10761">
              <w:rPr>
                <w:rFonts w:ascii="Arial" w:hAnsi="Arial" w:cs="Arial"/>
                <w:color w:val="000000" w:themeColor="text1"/>
              </w:rPr>
              <w:t>The Inventory Committee to:</w:t>
            </w:r>
          </w:p>
          <w:p w14:paraId="0B2150B3" w14:textId="77777777" w:rsidR="00F10761" w:rsidRPr="00C24152" w:rsidRDefault="00F10761" w:rsidP="00F10761">
            <w:pPr>
              <w:pStyle w:val="NoSpacing"/>
              <w:rPr>
                <w:rFonts w:ascii="Arial" w:hAnsi="Arial" w:cs="Arial"/>
                <w:color w:val="000000" w:themeColor="text1"/>
                <w:sz w:val="20"/>
                <w:szCs w:val="20"/>
              </w:rPr>
            </w:pPr>
          </w:p>
          <w:p w14:paraId="1821959B" w14:textId="61C7FB69" w:rsidR="00F10761" w:rsidRPr="00F10761" w:rsidRDefault="00F10761" w:rsidP="00BE329B">
            <w:pPr>
              <w:pStyle w:val="NoSpacing"/>
              <w:numPr>
                <w:ilvl w:val="0"/>
                <w:numId w:val="28"/>
              </w:numPr>
              <w:tabs>
                <w:tab w:val="left" w:pos="880"/>
              </w:tabs>
              <w:spacing w:line="240" w:lineRule="auto"/>
              <w:ind w:left="350" w:firstLine="0"/>
              <w:rPr>
                <w:rFonts w:ascii="Arial" w:hAnsi="Arial" w:cs="Arial"/>
                <w:color w:val="000000" w:themeColor="text1"/>
              </w:rPr>
            </w:pPr>
            <w:r w:rsidRPr="00F10761">
              <w:rPr>
                <w:rFonts w:ascii="Arial" w:hAnsi="Arial" w:cs="Arial"/>
                <w:color w:val="000000" w:themeColor="text1"/>
              </w:rPr>
              <w:t xml:space="preserve">Renew the </w:t>
            </w:r>
            <w:r w:rsidR="001F54EF">
              <w:rPr>
                <w:rFonts w:ascii="Arial" w:hAnsi="Arial" w:cs="Arial"/>
                <w:color w:val="000000" w:themeColor="text1"/>
              </w:rPr>
              <w:t>Property Acknowledge</w:t>
            </w:r>
            <w:r w:rsidR="00A25A1F">
              <w:rPr>
                <w:rFonts w:ascii="Arial" w:hAnsi="Arial" w:cs="Arial"/>
                <w:color w:val="000000" w:themeColor="text1"/>
              </w:rPr>
              <w:t>ment</w:t>
            </w:r>
            <w:r w:rsidR="001F54EF">
              <w:rPr>
                <w:rFonts w:ascii="Arial" w:hAnsi="Arial" w:cs="Arial"/>
                <w:color w:val="000000" w:themeColor="text1"/>
              </w:rPr>
              <w:t xml:space="preserve"> Receipts (</w:t>
            </w:r>
            <w:r w:rsidRPr="00F10761">
              <w:rPr>
                <w:rFonts w:ascii="Arial" w:hAnsi="Arial" w:cs="Arial"/>
                <w:color w:val="000000" w:themeColor="text1"/>
              </w:rPr>
              <w:t>PARs</w:t>
            </w:r>
            <w:r w:rsidR="001F54EF">
              <w:rPr>
                <w:rFonts w:ascii="Arial" w:hAnsi="Arial" w:cs="Arial"/>
                <w:color w:val="000000" w:themeColor="text1"/>
              </w:rPr>
              <w:t xml:space="preserve">) </w:t>
            </w:r>
            <w:r w:rsidRPr="00F10761">
              <w:rPr>
                <w:rFonts w:ascii="Arial" w:hAnsi="Arial" w:cs="Arial"/>
                <w:color w:val="000000" w:themeColor="text1"/>
              </w:rPr>
              <w:t>every three years or every time there is a change in property accountability or custodianship; and</w:t>
            </w:r>
          </w:p>
          <w:p w14:paraId="5B752616" w14:textId="73C0845F" w:rsidR="00F10761" w:rsidRDefault="00F10761" w:rsidP="00BE329B">
            <w:pPr>
              <w:pStyle w:val="NoSpacing"/>
              <w:tabs>
                <w:tab w:val="left" w:pos="880"/>
              </w:tabs>
              <w:ind w:left="350"/>
              <w:rPr>
                <w:rFonts w:ascii="Arial" w:hAnsi="Arial" w:cs="Arial"/>
                <w:color w:val="000000" w:themeColor="text1"/>
              </w:rPr>
            </w:pPr>
          </w:p>
          <w:p w14:paraId="3BA32ED7" w14:textId="7E48D188" w:rsidR="00094AB4" w:rsidRDefault="00094AB4" w:rsidP="00BE329B">
            <w:pPr>
              <w:pStyle w:val="NoSpacing"/>
              <w:tabs>
                <w:tab w:val="left" w:pos="880"/>
              </w:tabs>
              <w:ind w:left="350"/>
              <w:rPr>
                <w:rFonts w:ascii="Arial" w:hAnsi="Arial" w:cs="Arial"/>
                <w:color w:val="000000" w:themeColor="text1"/>
              </w:rPr>
            </w:pPr>
          </w:p>
          <w:p w14:paraId="74720D05" w14:textId="5B15ABF8" w:rsidR="00094AB4" w:rsidRDefault="00094AB4" w:rsidP="00BE329B">
            <w:pPr>
              <w:pStyle w:val="NoSpacing"/>
              <w:tabs>
                <w:tab w:val="left" w:pos="880"/>
              </w:tabs>
              <w:ind w:left="350"/>
              <w:rPr>
                <w:rFonts w:ascii="Arial" w:hAnsi="Arial" w:cs="Arial"/>
                <w:color w:val="000000" w:themeColor="text1"/>
              </w:rPr>
            </w:pPr>
          </w:p>
          <w:p w14:paraId="4BC8DC8C" w14:textId="77777777" w:rsidR="00094AB4" w:rsidRDefault="00094AB4" w:rsidP="00C24152">
            <w:pPr>
              <w:pStyle w:val="NoSpacing"/>
              <w:tabs>
                <w:tab w:val="left" w:pos="880"/>
              </w:tabs>
              <w:rPr>
                <w:rFonts w:ascii="Arial" w:hAnsi="Arial" w:cs="Arial"/>
                <w:color w:val="000000" w:themeColor="text1"/>
              </w:rPr>
            </w:pPr>
          </w:p>
          <w:p w14:paraId="3842FE79" w14:textId="6835E17D" w:rsidR="00F10761" w:rsidRPr="007E3399" w:rsidRDefault="00F10761" w:rsidP="00BE329B">
            <w:pPr>
              <w:pStyle w:val="NoSpacing"/>
              <w:numPr>
                <w:ilvl w:val="0"/>
                <w:numId w:val="28"/>
              </w:numPr>
              <w:tabs>
                <w:tab w:val="left" w:pos="880"/>
              </w:tabs>
              <w:spacing w:line="240" w:lineRule="auto"/>
              <w:ind w:left="350" w:firstLine="0"/>
              <w:rPr>
                <w:rFonts w:ascii="Arial" w:hAnsi="Arial" w:cs="Arial"/>
              </w:rPr>
            </w:pPr>
            <w:r w:rsidRPr="007E3399">
              <w:rPr>
                <w:rFonts w:ascii="Arial" w:hAnsi="Arial" w:cs="Arial"/>
                <w:color w:val="000000" w:themeColor="text1"/>
              </w:rPr>
              <w:t>Submit</w:t>
            </w:r>
            <w:r w:rsidRPr="007E3399">
              <w:rPr>
                <w:rFonts w:ascii="Arial" w:hAnsi="Arial" w:cs="Arial"/>
              </w:rPr>
              <w:t xml:space="preserve"> the complete RPCPPE on time and use the prescribed form (Appendix 73) as required under Section 42 of </w:t>
            </w:r>
            <w:r w:rsidR="00541589">
              <w:rPr>
                <w:rFonts w:ascii="Arial" w:hAnsi="Arial" w:cs="Arial"/>
              </w:rPr>
              <w:t>Government Accounting Manual (</w:t>
            </w:r>
            <w:r w:rsidRPr="007E3399">
              <w:rPr>
                <w:rFonts w:ascii="Arial" w:hAnsi="Arial" w:cs="Arial"/>
              </w:rPr>
              <w:t>GAM</w:t>
            </w:r>
            <w:r w:rsidR="00541589">
              <w:rPr>
                <w:rFonts w:ascii="Arial" w:hAnsi="Arial" w:cs="Arial"/>
              </w:rPr>
              <w:t>)</w:t>
            </w:r>
            <w:r w:rsidRPr="007E3399">
              <w:rPr>
                <w:rFonts w:ascii="Arial" w:hAnsi="Arial" w:cs="Arial"/>
              </w:rPr>
              <w:t xml:space="preserve"> for </w:t>
            </w:r>
            <w:r w:rsidR="00541589">
              <w:rPr>
                <w:rFonts w:ascii="Arial" w:hAnsi="Arial" w:cs="Arial"/>
              </w:rPr>
              <w:t>National Government Agencies (</w:t>
            </w:r>
            <w:r w:rsidRPr="007E3399">
              <w:rPr>
                <w:rFonts w:ascii="Arial" w:hAnsi="Arial" w:cs="Arial"/>
              </w:rPr>
              <w:t>NGAs</w:t>
            </w:r>
            <w:r w:rsidR="00541589">
              <w:rPr>
                <w:rFonts w:ascii="Arial" w:hAnsi="Arial" w:cs="Arial"/>
              </w:rPr>
              <w:t>)</w:t>
            </w:r>
            <w:r w:rsidRPr="007E3399">
              <w:rPr>
                <w:rFonts w:ascii="Arial" w:hAnsi="Arial" w:cs="Arial"/>
              </w:rPr>
              <w:t>; and</w:t>
            </w:r>
          </w:p>
          <w:p w14:paraId="7D2931AF" w14:textId="77777777" w:rsidR="007E3399" w:rsidRDefault="007E3399" w:rsidP="00BE329B">
            <w:pPr>
              <w:pStyle w:val="NoSpacing"/>
              <w:tabs>
                <w:tab w:val="left" w:pos="880"/>
              </w:tabs>
              <w:ind w:left="350"/>
              <w:rPr>
                <w:rFonts w:ascii="Arial" w:hAnsi="Arial" w:cs="Arial"/>
              </w:rPr>
            </w:pPr>
          </w:p>
          <w:p w14:paraId="3063FC96" w14:textId="77777777" w:rsidR="00DE5072" w:rsidRDefault="00DE5072" w:rsidP="007E3399">
            <w:pPr>
              <w:pStyle w:val="NoSpacing"/>
              <w:rPr>
                <w:rFonts w:ascii="Arial" w:hAnsi="Arial" w:cs="Arial"/>
              </w:rPr>
            </w:pPr>
          </w:p>
          <w:p w14:paraId="42581086" w14:textId="17AC961B" w:rsidR="00BD7A77" w:rsidRDefault="00BD7A77" w:rsidP="00807DE0">
            <w:pPr>
              <w:pStyle w:val="NoSpacing"/>
              <w:spacing w:line="240" w:lineRule="auto"/>
              <w:rPr>
                <w:rFonts w:ascii="Arial" w:hAnsi="Arial" w:cs="Arial"/>
              </w:rPr>
            </w:pPr>
          </w:p>
          <w:p w14:paraId="5307400E" w14:textId="28ACA100" w:rsidR="00BD7A77" w:rsidRDefault="00BD7A77" w:rsidP="00807DE0">
            <w:pPr>
              <w:pStyle w:val="NoSpacing"/>
              <w:spacing w:line="240" w:lineRule="auto"/>
              <w:rPr>
                <w:rFonts w:ascii="Arial" w:hAnsi="Arial" w:cs="Arial"/>
              </w:rPr>
            </w:pPr>
          </w:p>
          <w:p w14:paraId="01A946A9" w14:textId="77777777" w:rsidR="00BD7A77" w:rsidRDefault="00BD7A77" w:rsidP="00807DE0">
            <w:pPr>
              <w:pStyle w:val="NoSpacing"/>
              <w:spacing w:line="240" w:lineRule="auto"/>
              <w:rPr>
                <w:rFonts w:ascii="Arial" w:hAnsi="Arial" w:cs="Arial"/>
              </w:rPr>
            </w:pPr>
          </w:p>
          <w:p w14:paraId="517FAB54" w14:textId="77777777" w:rsidR="00BE329B" w:rsidRPr="00E0296C" w:rsidRDefault="00BE329B" w:rsidP="00807DE0">
            <w:pPr>
              <w:pStyle w:val="NoSpacing"/>
              <w:spacing w:line="240" w:lineRule="auto"/>
              <w:rPr>
                <w:rFonts w:ascii="Arial" w:hAnsi="Arial" w:cs="Arial"/>
                <w:bCs/>
                <w:color w:val="000000" w:themeColor="text1"/>
                <w:lang w:val="en-GB"/>
              </w:rPr>
            </w:pPr>
          </w:p>
        </w:tc>
        <w:tc>
          <w:tcPr>
            <w:tcW w:w="3801" w:type="dxa"/>
          </w:tcPr>
          <w:p w14:paraId="29DC8F95" w14:textId="77777777" w:rsidR="00F10761" w:rsidRDefault="00F10761" w:rsidP="009A4FEC">
            <w:pPr>
              <w:pStyle w:val="NoSpacing"/>
              <w:spacing w:line="240" w:lineRule="auto"/>
              <w:ind w:left="25" w:right="-108"/>
              <w:rPr>
                <w:rFonts w:ascii="Arial" w:hAnsi="Arial" w:cs="Arial"/>
              </w:rPr>
            </w:pPr>
          </w:p>
          <w:p w14:paraId="0D7D0759" w14:textId="77777777" w:rsidR="007E3399" w:rsidRDefault="007E3399" w:rsidP="009A4FEC">
            <w:pPr>
              <w:pStyle w:val="NoSpacing"/>
              <w:spacing w:line="240" w:lineRule="auto"/>
              <w:ind w:left="25" w:right="-108"/>
              <w:rPr>
                <w:rFonts w:ascii="Arial" w:hAnsi="Arial" w:cs="Arial"/>
              </w:rPr>
            </w:pPr>
          </w:p>
          <w:p w14:paraId="108F8800" w14:textId="77777777" w:rsidR="007E3399" w:rsidRDefault="007E3399" w:rsidP="009A4FEC">
            <w:pPr>
              <w:pStyle w:val="NoSpacing"/>
              <w:spacing w:line="240" w:lineRule="auto"/>
              <w:ind w:left="25" w:right="-108"/>
              <w:rPr>
                <w:rFonts w:ascii="Arial" w:hAnsi="Arial" w:cs="Arial"/>
              </w:rPr>
            </w:pPr>
          </w:p>
          <w:p w14:paraId="6D6110FC" w14:textId="77777777" w:rsidR="007E3399" w:rsidRDefault="007E3399" w:rsidP="009A4FEC">
            <w:pPr>
              <w:pStyle w:val="NoSpacing"/>
              <w:spacing w:line="240" w:lineRule="auto"/>
              <w:ind w:left="25" w:right="-108"/>
              <w:rPr>
                <w:rFonts w:ascii="Arial" w:hAnsi="Arial" w:cs="Arial"/>
              </w:rPr>
            </w:pPr>
          </w:p>
          <w:p w14:paraId="3FD57B19" w14:textId="77777777" w:rsidR="007E3399" w:rsidRDefault="007E3399" w:rsidP="009A4FEC">
            <w:pPr>
              <w:pStyle w:val="NoSpacing"/>
              <w:spacing w:line="240" w:lineRule="auto"/>
              <w:ind w:left="25" w:right="-108"/>
              <w:rPr>
                <w:rFonts w:ascii="Arial" w:hAnsi="Arial" w:cs="Arial"/>
              </w:rPr>
            </w:pPr>
          </w:p>
          <w:p w14:paraId="7BE0491E" w14:textId="77777777" w:rsidR="007E3399" w:rsidRDefault="007E3399" w:rsidP="009A4FEC">
            <w:pPr>
              <w:pStyle w:val="NoSpacing"/>
              <w:spacing w:line="240" w:lineRule="auto"/>
              <w:ind w:left="25" w:right="-108"/>
              <w:rPr>
                <w:rFonts w:ascii="Arial" w:hAnsi="Arial" w:cs="Arial"/>
              </w:rPr>
            </w:pPr>
          </w:p>
          <w:p w14:paraId="6661F856" w14:textId="77777777" w:rsidR="007E3399" w:rsidRDefault="007E3399" w:rsidP="009A4FEC">
            <w:pPr>
              <w:pStyle w:val="NoSpacing"/>
              <w:spacing w:line="240" w:lineRule="auto"/>
              <w:ind w:left="25" w:right="-108"/>
              <w:rPr>
                <w:rFonts w:ascii="Arial" w:hAnsi="Arial" w:cs="Arial"/>
              </w:rPr>
            </w:pPr>
          </w:p>
          <w:p w14:paraId="5780DF92" w14:textId="77777777" w:rsidR="007E3399" w:rsidRDefault="007E3399" w:rsidP="009A4FEC">
            <w:pPr>
              <w:pStyle w:val="NoSpacing"/>
              <w:spacing w:line="240" w:lineRule="auto"/>
              <w:ind w:left="25" w:right="-108"/>
              <w:rPr>
                <w:rFonts w:ascii="Arial" w:hAnsi="Arial" w:cs="Arial"/>
              </w:rPr>
            </w:pPr>
          </w:p>
          <w:p w14:paraId="060DC633" w14:textId="77777777" w:rsidR="007E3399" w:rsidRDefault="007E3399" w:rsidP="009A4FEC">
            <w:pPr>
              <w:pStyle w:val="NoSpacing"/>
              <w:spacing w:line="240" w:lineRule="auto"/>
              <w:ind w:left="25" w:right="-108"/>
              <w:rPr>
                <w:rFonts w:ascii="Arial" w:hAnsi="Arial" w:cs="Arial"/>
              </w:rPr>
            </w:pPr>
          </w:p>
          <w:p w14:paraId="5979440E" w14:textId="77777777" w:rsidR="007E3399" w:rsidRDefault="007E3399" w:rsidP="009A4FEC">
            <w:pPr>
              <w:pStyle w:val="NoSpacing"/>
              <w:spacing w:line="240" w:lineRule="auto"/>
              <w:ind w:left="25" w:right="-108"/>
              <w:rPr>
                <w:rFonts w:ascii="Arial" w:hAnsi="Arial" w:cs="Arial"/>
              </w:rPr>
            </w:pPr>
          </w:p>
          <w:p w14:paraId="1C34A966" w14:textId="77777777" w:rsidR="007E3399" w:rsidRDefault="007E3399" w:rsidP="009A4FEC">
            <w:pPr>
              <w:pStyle w:val="NoSpacing"/>
              <w:spacing w:line="240" w:lineRule="auto"/>
              <w:ind w:left="25" w:right="-108"/>
              <w:rPr>
                <w:rFonts w:ascii="Arial" w:hAnsi="Arial" w:cs="Arial"/>
              </w:rPr>
            </w:pPr>
          </w:p>
          <w:p w14:paraId="2B537F81" w14:textId="77777777" w:rsidR="007E3399" w:rsidRDefault="007E3399" w:rsidP="009A4FEC">
            <w:pPr>
              <w:pStyle w:val="NoSpacing"/>
              <w:spacing w:line="240" w:lineRule="auto"/>
              <w:ind w:left="25" w:right="-108"/>
              <w:rPr>
                <w:rFonts w:ascii="Arial" w:hAnsi="Arial" w:cs="Arial"/>
              </w:rPr>
            </w:pPr>
          </w:p>
          <w:p w14:paraId="3D4F3C59" w14:textId="77777777" w:rsidR="007E3399" w:rsidRDefault="007E3399" w:rsidP="009A4FEC">
            <w:pPr>
              <w:pStyle w:val="NoSpacing"/>
              <w:spacing w:line="240" w:lineRule="auto"/>
              <w:ind w:left="25" w:right="-108"/>
              <w:rPr>
                <w:rFonts w:ascii="Arial" w:hAnsi="Arial" w:cs="Arial"/>
              </w:rPr>
            </w:pPr>
          </w:p>
          <w:p w14:paraId="23CAFCEC" w14:textId="77777777" w:rsidR="007E3399" w:rsidRDefault="007E3399" w:rsidP="009A4FEC">
            <w:pPr>
              <w:pStyle w:val="NoSpacing"/>
              <w:spacing w:line="240" w:lineRule="auto"/>
              <w:ind w:left="25" w:right="-108"/>
              <w:rPr>
                <w:rFonts w:ascii="Arial" w:hAnsi="Arial" w:cs="Arial"/>
              </w:rPr>
            </w:pPr>
          </w:p>
          <w:p w14:paraId="3D55B45D" w14:textId="77777777" w:rsidR="007E3399" w:rsidRPr="00C24152" w:rsidRDefault="007E3399" w:rsidP="009A4FEC">
            <w:pPr>
              <w:pStyle w:val="NoSpacing"/>
              <w:spacing w:line="240" w:lineRule="auto"/>
              <w:ind w:left="25" w:right="-108"/>
              <w:rPr>
                <w:rFonts w:ascii="Arial" w:hAnsi="Arial" w:cs="Arial"/>
                <w:sz w:val="20"/>
                <w:szCs w:val="20"/>
              </w:rPr>
            </w:pPr>
          </w:p>
          <w:p w14:paraId="2765AA7D" w14:textId="77777777" w:rsidR="00807DE0" w:rsidRDefault="00807DE0" w:rsidP="005B08C6">
            <w:pPr>
              <w:pStyle w:val="NoSpacing"/>
              <w:spacing w:line="240" w:lineRule="auto"/>
              <w:ind w:right="-108"/>
              <w:rPr>
                <w:rFonts w:ascii="Arial" w:hAnsi="Arial" w:cs="Arial"/>
              </w:rPr>
            </w:pPr>
          </w:p>
          <w:p w14:paraId="024A4C50" w14:textId="77777777" w:rsidR="000B46EB" w:rsidRDefault="000B46EB" w:rsidP="009A4FEC">
            <w:pPr>
              <w:pStyle w:val="NoSpacing"/>
              <w:ind w:left="25" w:right="-43"/>
              <w:rPr>
                <w:rFonts w:ascii="Arial" w:hAnsi="Arial" w:cs="Arial"/>
              </w:rPr>
            </w:pPr>
            <w:r>
              <w:rPr>
                <w:rFonts w:ascii="Arial" w:hAnsi="Arial" w:cs="Arial"/>
              </w:rPr>
              <w:t>Partially Implemented</w:t>
            </w:r>
            <w:r w:rsidR="00927367">
              <w:rPr>
                <w:rFonts w:ascii="Arial" w:hAnsi="Arial" w:cs="Arial"/>
              </w:rPr>
              <w:t>.</w:t>
            </w:r>
          </w:p>
          <w:p w14:paraId="775E56CD" w14:textId="77777777" w:rsidR="000B46EB" w:rsidRDefault="000B46EB" w:rsidP="009A4FEC">
            <w:pPr>
              <w:pStyle w:val="NoSpacing"/>
              <w:ind w:left="25" w:right="-43"/>
              <w:rPr>
                <w:rFonts w:ascii="Arial" w:hAnsi="Arial" w:cs="Arial"/>
              </w:rPr>
            </w:pPr>
          </w:p>
          <w:p w14:paraId="7934EA16" w14:textId="475FC6DF" w:rsidR="007E3399" w:rsidRPr="007E3399" w:rsidRDefault="00910C01" w:rsidP="009A4FEC">
            <w:pPr>
              <w:pStyle w:val="NoSpacing"/>
              <w:ind w:left="25" w:right="-43"/>
              <w:rPr>
                <w:rFonts w:ascii="Arial" w:hAnsi="Arial" w:cs="Arial"/>
              </w:rPr>
            </w:pPr>
            <w:r>
              <w:rPr>
                <w:rFonts w:ascii="Arial" w:hAnsi="Arial" w:cs="Arial"/>
              </w:rPr>
              <w:t xml:space="preserve">Reconciliation of records between </w:t>
            </w:r>
            <w:r w:rsidR="007E3399" w:rsidRPr="007E3399">
              <w:rPr>
                <w:rFonts w:ascii="Arial" w:hAnsi="Arial" w:cs="Arial"/>
              </w:rPr>
              <w:t xml:space="preserve">Accounting </w:t>
            </w:r>
            <w:r>
              <w:rPr>
                <w:rFonts w:ascii="Arial" w:hAnsi="Arial" w:cs="Arial"/>
              </w:rPr>
              <w:t xml:space="preserve">and Property </w:t>
            </w:r>
            <w:r w:rsidR="007E3399" w:rsidRPr="007E3399">
              <w:rPr>
                <w:rFonts w:ascii="Arial" w:hAnsi="Arial" w:cs="Arial"/>
              </w:rPr>
              <w:t>Division</w:t>
            </w:r>
            <w:r>
              <w:rPr>
                <w:rFonts w:ascii="Arial" w:hAnsi="Arial" w:cs="Arial"/>
              </w:rPr>
              <w:t>s is on-going. There are NTA properties that are not titled and consequently</w:t>
            </w:r>
            <w:r w:rsidR="00EC73CD">
              <w:rPr>
                <w:rFonts w:ascii="Arial" w:hAnsi="Arial" w:cs="Arial"/>
              </w:rPr>
              <w:t xml:space="preserve">, </w:t>
            </w:r>
            <w:r>
              <w:rPr>
                <w:rFonts w:ascii="Arial" w:hAnsi="Arial" w:cs="Arial"/>
              </w:rPr>
              <w:t>cannot be recorded in the books.</w:t>
            </w:r>
            <w:r w:rsidR="00EC73CD">
              <w:rPr>
                <w:rFonts w:ascii="Arial" w:hAnsi="Arial" w:cs="Arial"/>
              </w:rPr>
              <w:t xml:space="preserve">  </w:t>
            </w:r>
            <w:r>
              <w:rPr>
                <w:rFonts w:ascii="Arial" w:hAnsi="Arial" w:cs="Arial"/>
              </w:rPr>
              <w:t xml:space="preserve">Likewise, the Project Assistant IV </w:t>
            </w:r>
            <w:r w:rsidR="00AD6C60">
              <w:rPr>
                <w:rFonts w:ascii="Arial" w:hAnsi="Arial" w:cs="Arial"/>
              </w:rPr>
              <w:t>was</w:t>
            </w:r>
            <w:r>
              <w:rPr>
                <w:rFonts w:ascii="Arial" w:hAnsi="Arial" w:cs="Arial"/>
              </w:rPr>
              <w:t xml:space="preserve"> designated as in charge of land titling and property.  </w:t>
            </w:r>
          </w:p>
          <w:p w14:paraId="7E05493F" w14:textId="77777777" w:rsidR="007E3399" w:rsidRPr="00C24152" w:rsidRDefault="007E3399" w:rsidP="009A4FEC">
            <w:pPr>
              <w:pStyle w:val="NoSpacing"/>
              <w:ind w:left="25" w:right="-43"/>
              <w:rPr>
                <w:rFonts w:ascii="Arial" w:hAnsi="Arial" w:cs="Arial"/>
                <w:sz w:val="20"/>
                <w:szCs w:val="20"/>
              </w:rPr>
            </w:pPr>
          </w:p>
          <w:p w14:paraId="2BD7EE73" w14:textId="77777777" w:rsidR="003E39A0" w:rsidRPr="00000A5C" w:rsidRDefault="000B46EB" w:rsidP="003E39A0">
            <w:pPr>
              <w:pStyle w:val="NoSpacing"/>
              <w:spacing w:line="240" w:lineRule="auto"/>
              <w:ind w:right="-108"/>
              <w:rPr>
                <w:rFonts w:ascii="Arial" w:hAnsi="Arial" w:cs="Arial"/>
              </w:rPr>
            </w:pPr>
            <w:r>
              <w:rPr>
                <w:rFonts w:ascii="Arial" w:hAnsi="Arial" w:cs="Arial"/>
              </w:rPr>
              <w:t>Partially Implemented</w:t>
            </w:r>
            <w:r w:rsidR="00927367">
              <w:rPr>
                <w:rFonts w:ascii="Arial" w:hAnsi="Arial" w:cs="Arial"/>
              </w:rPr>
              <w:t>.</w:t>
            </w:r>
            <w:r>
              <w:rPr>
                <w:rFonts w:ascii="Arial" w:hAnsi="Arial" w:cs="Arial"/>
              </w:rPr>
              <w:t xml:space="preserve"> </w:t>
            </w:r>
          </w:p>
          <w:p w14:paraId="15E36F4C" w14:textId="77777777" w:rsidR="007E3399" w:rsidRPr="00C24152" w:rsidRDefault="007E3399" w:rsidP="009A4FEC">
            <w:pPr>
              <w:pStyle w:val="NoSpacing"/>
              <w:spacing w:line="240" w:lineRule="auto"/>
              <w:ind w:left="25" w:right="-108"/>
              <w:rPr>
                <w:rFonts w:ascii="Arial" w:hAnsi="Arial" w:cs="Arial"/>
                <w:sz w:val="20"/>
                <w:szCs w:val="20"/>
              </w:rPr>
            </w:pPr>
          </w:p>
          <w:p w14:paraId="51316EF4" w14:textId="6BD4C31E" w:rsidR="007E3399" w:rsidRPr="007E3399" w:rsidRDefault="007E3399" w:rsidP="009A4FEC">
            <w:pPr>
              <w:pStyle w:val="NoSpacing"/>
              <w:ind w:left="25" w:right="-43"/>
              <w:rPr>
                <w:rFonts w:ascii="Arial" w:hAnsi="Arial" w:cs="Arial"/>
              </w:rPr>
            </w:pPr>
            <w:r w:rsidRPr="007E3399">
              <w:rPr>
                <w:rFonts w:ascii="Arial" w:hAnsi="Arial" w:cs="Arial"/>
              </w:rPr>
              <w:t>The Accounting Division has already identified the assets to be corrected.</w:t>
            </w:r>
            <w:r w:rsidR="00E40171">
              <w:rPr>
                <w:rFonts w:ascii="Arial" w:hAnsi="Arial" w:cs="Arial"/>
              </w:rPr>
              <w:t xml:space="preserve"> </w:t>
            </w:r>
            <w:r w:rsidR="00905A76">
              <w:rPr>
                <w:rFonts w:ascii="Arial" w:hAnsi="Arial" w:cs="Arial"/>
              </w:rPr>
              <w:t>However,</w:t>
            </w:r>
            <w:r w:rsidR="00E40171">
              <w:rPr>
                <w:rFonts w:ascii="Arial" w:hAnsi="Arial" w:cs="Arial"/>
              </w:rPr>
              <w:t xml:space="preserve"> </w:t>
            </w:r>
            <w:r w:rsidR="00905A76">
              <w:rPr>
                <w:rFonts w:ascii="Arial" w:hAnsi="Arial" w:cs="Arial"/>
              </w:rPr>
              <w:t>no adjustments had been effected as of year-end.</w:t>
            </w:r>
          </w:p>
          <w:p w14:paraId="1E773D56" w14:textId="5C96B021" w:rsidR="00394830" w:rsidRDefault="00394830" w:rsidP="00BC7B11">
            <w:pPr>
              <w:pStyle w:val="NoSpacing"/>
              <w:spacing w:line="240" w:lineRule="auto"/>
              <w:ind w:right="-108"/>
              <w:rPr>
                <w:rFonts w:ascii="Arial" w:hAnsi="Arial" w:cs="Arial"/>
              </w:rPr>
            </w:pPr>
          </w:p>
          <w:p w14:paraId="1BEFD71B" w14:textId="4DCCF4AA" w:rsidR="00394830" w:rsidRDefault="00394830" w:rsidP="00BC7B11">
            <w:pPr>
              <w:pStyle w:val="NoSpacing"/>
              <w:spacing w:line="240" w:lineRule="auto"/>
              <w:ind w:right="-108"/>
              <w:rPr>
                <w:rFonts w:ascii="Arial" w:hAnsi="Arial" w:cs="Arial"/>
                <w:sz w:val="20"/>
                <w:szCs w:val="20"/>
              </w:rPr>
            </w:pPr>
          </w:p>
          <w:p w14:paraId="4AD305E8" w14:textId="77777777" w:rsidR="00D335A1" w:rsidRPr="00C24152" w:rsidRDefault="00D335A1" w:rsidP="00BC7B11">
            <w:pPr>
              <w:pStyle w:val="NoSpacing"/>
              <w:spacing w:line="240" w:lineRule="auto"/>
              <w:ind w:right="-108"/>
              <w:rPr>
                <w:rFonts w:ascii="Arial" w:hAnsi="Arial" w:cs="Arial"/>
                <w:sz w:val="24"/>
                <w:szCs w:val="24"/>
              </w:rPr>
            </w:pPr>
          </w:p>
          <w:p w14:paraId="57F73362" w14:textId="77777777" w:rsidR="00DE5072" w:rsidRDefault="000B46EB" w:rsidP="00C24152">
            <w:pPr>
              <w:pStyle w:val="NoSpacing"/>
              <w:ind w:right="-43"/>
              <w:rPr>
                <w:rFonts w:ascii="Arial" w:hAnsi="Arial" w:cs="Arial"/>
              </w:rPr>
            </w:pPr>
            <w:r>
              <w:rPr>
                <w:rFonts w:ascii="Arial" w:hAnsi="Arial" w:cs="Arial"/>
              </w:rPr>
              <w:t>Partially Implemented</w:t>
            </w:r>
            <w:r w:rsidR="00BE329B">
              <w:rPr>
                <w:rFonts w:ascii="Arial" w:hAnsi="Arial" w:cs="Arial"/>
              </w:rPr>
              <w:t>.</w:t>
            </w:r>
          </w:p>
          <w:p w14:paraId="417B2412" w14:textId="77777777" w:rsidR="000B46EB" w:rsidRDefault="000B46EB" w:rsidP="009A4FEC">
            <w:pPr>
              <w:pStyle w:val="NoSpacing"/>
              <w:spacing w:line="240" w:lineRule="auto"/>
              <w:ind w:left="25" w:right="-108"/>
              <w:rPr>
                <w:rFonts w:ascii="Arial" w:hAnsi="Arial" w:cs="Arial"/>
              </w:rPr>
            </w:pPr>
          </w:p>
          <w:p w14:paraId="50AB3FB0" w14:textId="5C4E435E" w:rsidR="00094AB4" w:rsidRPr="00094AB4" w:rsidRDefault="00094AB4" w:rsidP="00094AB4">
            <w:pPr>
              <w:pStyle w:val="NoSpacing"/>
              <w:ind w:right="-43"/>
              <w:rPr>
                <w:rFonts w:ascii="Arial" w:hAnsi="Arial" w:cs="Arial"/>
              </w:rPr>
            </w:pPr>
            <w:r w:rsidRPr="00094AB4">
              <w:rPr>
                <w:rFonts w:ascii="Arial" w:hAnsi="Arial" w:cs="Arial"/>
              </w:rPr>
              <w:t>PARs have been issued in 2018</w:t>
            </w:r>
            <w:r>
              <w:rPr>
                <w:rFonts w:ascii="Arial" w:hAnsi="Arial" w:cs="Arial"/>
              </w:rPr>
              <w:t>,</w:t>
            </w:r>
            <w:r w:rsidRPr="00094AB4">
              <w:rPr>
                <w:rFonts w:ascii="Arial" w:hAnsi="Arial" w:cs="Arial"/>
              </w:rPr>
              <w:t xml:space="preserve"> hence, the renewal will still be in 2021.</w:t>
            </w:r>
            <w:r>
              <w:rPr>
                <w:rFonts w:ascii="Arial" w:hAnsi="Arial" w:cs="Arial"/>
              </w:rPr>
              <w:t xml:space="preserve"> However, during the inventory count</w:t>
            </w:r>
            <w:r w:rsidR="00DD5B6C">
              <w:rPr>
                <w:rFonts w:ascii="Arial" w:hAnsi="Arial" w:cs="Arial"/>
              </w:rPr>
              <w:t xml:space="preserve"> conducted </w:t>
            </w:r>
            <w:r>
              <w:rPr>
                <w:rFonts w:ascii="Arial" w:hAnsi="Arial" w:cs="Arial"/>
              </w:rPr>
              <w:t xml:space="preserve">in February 2020, there were still PARs not renewed. </w:t>
            </w:r>
          </w:p>
          <w:p w14:paraId="6F32D67F" w14:textId="77777777" w:rsidR="00D335A1" w:rsidRPr="00C24152" w:rsidRDefault="00D335A1" w:rsidP="009A4FEC">
            <w:pPr>
              <w:pStyle w:val="NoSpacing"/>
              <w:ind w:left="25" w:right="-43"/>
              <w:rPr>
                <w:rFonts w:ascii="Arial" w:hAnsi="Arial" w:cs="Arial"/>
              </w:rPr>
            </w:pPr>
          </w:p>
          <w:p w14:paraId="7BA9EAEE" w14:textId="5B243B42" w:rsidR="00DE5072" w:rsidRPr="00FA1618" w:rsidRDefault="00760FE8" w:rsidP="009A4FEC">
            <w:pPr>
              <w:pStyle w:val="NoSpacing"/>
              <w:ind w:left="25" w:right="-43"/>
              <w:rPr>
                <w:rFonts w:ascii="Arial" w:hAnsi="Arial" w:cs="Arial"/>
              </w:rPr>
            </w:pPr>
            <w:r w:rsidRPr="00204114">
              <w:rPr>
                <w:rFonts w:ascii="Arial" w:hAnsi="Arial" w:cs="Arial"/>
              </w:rPr>
              <w:t xml:space="preserve">Partially </w:t>
            </w:r>
            <w:r w:rsidR="00DE5072" w:rsidRPr="00204114">
              <w:rPr>
                <w:rFonts w:ascii="Arial" w:hAnsi="Arial" w:cs="Arial"/>
              </w:rPr>
              <w:t>Implemented</w:t>
            </w:r>
            <w:r w:rsidR="00BE329B" w:rsidRPr="00204114">
              <w:rPr>
                <w:rFonts w:ascii="Arial" w:hAnsi="Arial" w:cs="Arial"/>
              </w:rPr>
              <w:t>.</w:t>
            </w:r>
          </w:p>
          <w:p w14:paraId="67927280" w14:textId="77777777" w:rsidR="00BD7A77" w:rsidRDefault="00BD7A77" w:rsidP="00E1303A">
            <w:pPr>
              <w:pStyle w:val="NoSpacing"/>
              <w:ind w:left="25" w:right="-43"/>
              <w:rPr>
                <w:rFonts w:ascii="Arial" w:hAnsi="Arial" w:cs="Arial"/>
              </w:rPr>
            </w:pPr>
          </w:p>
          <w:p w14:paraId="52D962EC" w14:textId="7DB524EA" w:rsidR="007E3399" w:rsidRPr="00000A5C" w:rsidRDefault="00FA1618" w:rsidP="00E1303A">
            <w:pPr>
              <w:pStyle w:val="NoSpacing"/>
              <w:ind w:left="25" w:right="-43"/>
              <w:rPr>
                <w:rFonts w:ascii="Arial" w:hAnsi="Arial" w:cs="Arial"/>
              </w:rPr>
            </w:pPr>
            <w:r>
              <w:rPr>
                <w:rFonts w:ascii="Arial" w:hAnsi="Arial" w:cs="Arial"/>
              </w:rPr>
              <w:t xml:space="preserve">Management </w:t>
            </w:r>
            <w:r w:rsidR="007E3399" w:rsidRPr="007E3399">
              <w:rPr>
                <w:rFonts w:ascii="Arial" w:hAnsi="Arial" w:cs="Arial"/>
              </w:rPr>
              <w:t xml:space="preserve">will comply with the requirement in </w:t>
            </w:r>
            <w:r>
              <w:rPr>
                <w:rFonts w:ascii="Arial" w:hAnsi="Arial" w:cs="Arial"/>
              </w:rPr>
              <w:t xml:space="preserve">the </w:t>
            </w:r>
            <w:r w:rsidR="007E3399" w:rsidRPr="007E3399">
              <w:rPr>
                <w:rFonts w:ascii="Arial" w:hAnsi="Arial" w:cs="Arial"/>
              </w:rPr>
              <w:t>next submission</w:t>
            </w:r>
            <w:r>
              <w:rPr>
                <w:rFonts w:ascii="Arial" w:hAnsi="Arial" w:cs="Arial"/>
              </w:rPr>
              <w:t xml:space="preserve"> and </w:t>
            </w:r>
            <w:r w:rsidR="007E3399" w:rsidRPr="007E3399">
              <w:rPr>
                <w:rFonts w:ascii="Arial" w:hAnsi="Arial" w:cs="Arial"/>
              </w:rPr>
              <w:t>will instruct the Supply Officer V to submit on time.</w:t>
            </w:r>
            <w:r w:rsidR="003E39A0">
              <w:rPr>
                <w:rFonts w:ascii="Arial" w:hAnsi="Arial" w:cs="Arial"/>
              </w:rPr>
              <w:t xml:space="preserve"> </w:t>
            </w:r>
            <w:r>
              <w:rPr>
                <w:rFonts w:ascii="Arial" w:hAnsi="Arial" w:cs="Arial"/>
              </w:rPr>
              <w:t>However, the</w:t>
            </w:r>
            <w:r w:rsidR="002A2E0C">
              <w:rPr>
                <w:rFonts w:ascii="Arial" w:hAnsi="Arial" w:cs="Arial"/>
              </w:rPr>
              <w:t xml:space="preserve"> </w:t>
            </w:r>
            <w:r w:rsidR="003E39A0">
              <w:rPr>
                <w:rFonts w:ascii="Arial" w:hAnsi="Arial" w:cs="Arial"/>
              </w:rPr>
              <w:t>physical inventory</w:t>
            </w:r>
            <w:r w:rsidR="004B44E1">
              <w:rPr>
                <w:rFonts w:ascii="Arial" w:hAnsi="Arial" w:cs="Arial"/>
              </w:rPr>
              <w:t xml:space="preserve"> taking </w:t>
            </w:r>
            <w:r w:rsidR="003E39A0">
              <w:rPr>
                <w:rFonts w:ascii="Arial" w:hAnsi="Arial" w:cs="Arial"/>
              </w:rPr>
              <w:t>for</w:t>
            </w:r>
            <w:r w:rsidR="00905A76">
              <w:rPr>
                <w:rFonts w:ascii="Arial" w:hAnsi="Arial" w:cs="Arial"/>
              </w:rPr>
              <w:t xml:space="preserve"> </w:t>
            </w:r>
            <w:r w:rsidR="003E39A0">
              <w:rPr>
                <w:rFonts w:ascii="Arial" w:hAnsi="Arial" w:cs="Arial"/>
              </w:rPr>
              <w:t xml:space="preserve">CY 2019 was </w:t>
            </w:r>
            <w:r w:rsidR="002A2E0C">
              <w:rPr>
                <w:rFonts w:ascii="Arial" w:hAnsi="Arial" w:cs="Arial"/>
              </w:rPr>
              <w:t>conduct</w:t>
            </w:r>
            <w:r w:rsidR="004B44E1">
              <w:rPr>
                <w:rFonts w:ascii="Arial" w:hAnsi="Arial" w:cs="Arial"/>
              </w:rPr>
              <w:t>ed</w:t>
            </w:r>
            <w:r w:rsidR="002A2E0C">
              <w:rPr>
                <w:rFonts w:ascii="Arial" w:hAnsi="Arial" w:cs="Arial"/>
              </w:rPr>
              <w:t xml:space="preserve"> </w:t>
            </w:r>
            <w:r w:rsidR="003E39A0">
              <w:rPr>
                <w:rFonts w:ascii="Arial" w:hAnsi="Arial" w:cs="Arial"/>
              </w:rPr>
              <w:t>on February 11 to 19, 2020</w:t>
            </w:r>
            <w:r>
              <w:rPr>
                <w:rFonts w:ascii="Arial" w:hAnsi="Arial" w:cs="Arial"/>
              </w:rPr>
              <w:t>.</w:t>
            </w:r>
            <w:r w:rsidR="003E39A0">
              <w:rPr>
                <w:rFonts w:ascii="Arial" w:hAnsi="Arial" w:cs="Arial"/>
              </w:rPr>
              <w:t xml:space="preserve"> </w:t>
            </w:r>
          </w:p>
        </w:tc>
      </w:tr>
      <w:tr w:rsidR="00F10761" w:rsidRPr="0035547E" w14:paraId="4AC51F70" w14:textId="77777777" w:rsidTr="00C24152">
        <w:trPr>
          <w:trHeight w:val="57"/>
        </w:trPr>
        <w:tc>
          <w:tcPr>
            <w:tcW w:w="5199" w:type="dxa"/>
          </w:tcPr>
          <w:p w14:paraId="4B8569D3" w14:textId="77777777" w:rsidR="0086238C" w:rsidRDefault="00F10761" w:rsidP="00BC7B11">
            <w:pPr>
              <w:pStyle w:val="NoSpacing"/>
              <w:numPr>
                <w:ilvl w:val="0"/>
                <w:numId w:val="21"/>
              </w:numPr>
              <w:tabs>
                <w:tab w:val="left" w:pos="375"/>
              </w:tabs>
              <w:spacing w:line="240" w:lineRule="auto"/>
              <w:ind w:left="-120" w:firstLine="0"/>
              <w:rPr>
                <w:rFonts w:ascii="Arial" w:hAnsi="Arial" w:cs="Arial"/>
                <w:color w:val="000000" w:themeColor="text1"/>
              </w:rPr>
            </w:pPr>
            <w:bookmarkStart w:id="10" w:name="_Hlk6423389"/>
            <w:r w:rsidRPr="00F10761">
              <w:rPr>
                <w:rFonts w:ascii="Arial" w:hAnsi="Arial" w:cs="Arial"/>
                <w:color w:val="000000" w:themeColor="text1"/>
              </w:rPr>
              <w:t>The Accounts Receivable – Trade as at December 31, 2018 totaling P5.287 million were not confirmed by two customers while two customers with accounts receivable of P19.298 million did not reply to the confirmation and receivables from four customers in NTA – HO and NTA La Union Branch have abnormal/negative balances amounting to P63,825, thereby affecting the fair presentation of the account in the financial statements.</w:t>
            </w:r>
          </w:p>
          <w:p w14:paraId="5839A189" w14:textId="77777777" w:rsidR="00F10761" w:rsidRPr="00C24152" w:rsidRDefault="00F10761" w:rsidP="00F10761">
            <w:pPr>
              <w:pStyle w:val="NoSpacing"/>
              <w:spacing w:line="240" w:lineRule="auto"/>
              <w:rPr>
                <w:rFonts w:ascii="Arial" w:hAnsi="Arial" w:cs="Arial"/>
                <w:color w:val="000000" w:themeColor="text1"/>
                <w:sz w:val="20"/>
                <w:szCs w:val="20"/>
              </w:rPr>
            </w:pPr>
          </w:p>
          <w:p w14:paraId="35F6F576" w14:textId="77777777" w:rsidR="00F10761" w:rsidRPr="00F10761" w:rsidRDefault="00F10761" w:rsidP="00F10761">
            <w:pPr>
              <w:pStyle w:val="NoSpacing"/>
              <w:spacing w:line="240" w:lineRule="auto"/>
              <w:ind w:left="-120"/>
              <w:rPr>
                <w:rFonts w:ascii="Arial" w:hAnsi="Arial" w:cs="Arial"/>
                <w:bCs/>
                <w:color w:val="000000" w:themeColor="text1"/>
              </w:rPr>
            </w:pPr>
            <w:r w:rsidRPr="00F10761">
              <w:rPr>
                <w:rFonts w:ascii="Arial" w:hAnsi="Arial" w:cs="Arial"/>
                <w:bCs/>
                <w:color w:val="000000" w:themeColor="text1"/>
              </w:rPr>
              <w:t>In view of the foregoing, we recommended that Management require the Accountant to conduct complete and thorough verification of the Accounts Receivable including those with abnormal balances, reconcile the balances of the P5.287 million with the customers’ records/books, and prepare the necessary adjustment to arrive at correct balances.</w:t>
            </w:r>
          </w:p>
          <w:bookmarkEnd w:id="10"/>
          <w:p w14:paraId="5E3390E6" w14:textId="77777777" w:rsidR="00F10761" w:rsidRPr="00C24152" w:rsidRDefault="00F10761" w:rsidP="00F10761">
            <w:pPr>
              <w:pStyle w:val="NoSpacing"/>
              <w:spacing w:line="240" w:lineRule="auto"/>
              <w:ind w:left="-120"/>
              <w:rPr>
                <w:rFonts w:ascii="Arial" w:hAnsi="Arial" w:cs="Arial"/>
                <w:bCs/>
                <w:color w:val="000000" w:themeColor="text1"/>
                <w:sz w:val="20"/>
                <w:szCs w:val="20"/>
              </w:rPr>
            </w:pPr>
          </w:p>
        </w:tc>
        <w:tc>
          <w:tcPr>
            <w:tcW w:w="3801" w:type="dxa"/>
          </w:tcPr>
          <w:p w14:paraId="7B4AAA02" w14:textId="4D3DEE3A" w:rsidR="00F10761" w:rsidRDefault="00F10761" w:rsidP="009A4FEC">
            <w:pPr>
              <w:pStyle w:val="NoSpacing"/>
              <w:spacing w:line="240" w:lineRule="auto"/>
              <w:ind w:left="25" w:right="-108"/>
              <w:rPr>
                <w:rFonts w:ascii="Arial" w:hAnsi="Arial" w:cs="Arial"/>
              </w:rPr>
            </w:pPr>
          </w:p>
          <w:p w14:paraId="7A69027D" w14:textId="77777777" w:rsidR="00B4770D" w:rsidRDefault="00B4770D" w:rsidP="009A4FEC">
            <w:pPr>
              <w:pStyle w:val="NoSpacing"/>
              <w:spacing w:line="240" w:lineRule="auto"/>
              <w:ind w:left="25" w:right="-108"/>
              <w:rPr>
                <w:rFonts w:ascii="Arial" w:hAnsi="Arial" w:cs="Arial"/>
              </w:rPr>
            </w:pPr>
          </w:p>
          <w:p w14:paraId="299167AD" w14:textId="77777777" w:rsidR="00B4770D" w:rsidRDefault="00B4770D" w:rsidP="009A4FEC">
            <w:pPr>
              <w:pStyle w:val="NoSpacing"/>
              <w:spacing w:line="240" w:lineRule="auto"/>
              <w:ind w:left="25" w:right="-108"/>
              <w:rPr>
                <w:rFonts w:ascii="Arial" w:hAnsi="Arial" w:cs="Arial"/>
              </w:rPr>
            </w:pPr>
          </w:p>
          <w:p w14:paraId="4A4331D6" w14:textId="77777777" w:rsidR="00B4770D" w:rsidRDefault="00B4770D" w:rsidP="009A4FEC">
            <w:pPr>
              <w:pStyle w:val="NoSpacing"/>
              <w:spacing w:line="240" w:lineRule="auto"/>
              <w:ind w:left="25" w:right="-108"/>
              <w:rPr>
                <w:rFonts w:ascii="Arial" w:hAnsi="Arial" w:cs="Arial"/>
              </w:rPr>
            </w:pPr>
          </w:p>
          <w:p w14:paraId="0EDBBE5B" w14:textId="77777777" w:rsidR="00B4770D" w:rsidRDefault="00B4770D" w:rsidP="009A4FEC">
            <w:pPr>
              <w:pStyle w:val="NoSpacing"/>
              <w:spacing w:line="240" w:lineRule="auto"/>
              <w:ind w:left="25" w:right="-108"/>
              <w:rPr>
                <w:rFonts w:ascii="Arial" w:hAnsi="Arial" w:cs="Arial"/>
              </w:rPr>
            </w:pPr>
          </w:p>
          <w:p w14:paraId="1F2253D8" w14:textId="77777777" w:rsidR="00B4770D" w:rsidRDefault="00B4770D" w:rsidP="009A4FEC">
            <w:pPr>
              <w:pStyle w:val="NoSpacing"/>
              <w:spacing w:line="240" w:lineRule="auto"/>
              <w:ind w:left="25" w:right="-108"/>
              <w:rPr>
                <w:rFonts w:ascii="Arial" w:hAnsi="Arial" w:cs="Arial"/>
              </w:rPr>
            </w:pPr>
          </w:p>
          <w:p w14:paraId="02F75472" w14:textId="77777777" w:rsidR="00B4770D" w:rsidRDefault="00B4770D" w:rsidP="009A4FEC">
            <w:pPr>
              <w:pStyle w:val="NoSpacing"/>
              <w:spacing w:line="240" w:lineRule="auto"/>
              <w:ind w:left="25" w:right="-108"/>
              <w:rPr>
                <w:rFonts w:ascii="Arial" w:hAnsi="Arial" w:cs="Arial"/>
              </w:rPr>
            </w:pPr>
          </w:p>
          <w:p w14:paraId="656F5E1F" w14:textId="77777777" w:rsidR="00B4770D" w:rsidRDefault="00B4770D" w:rsidP="009A4FEC">
            <w:pPr>
              <w:pStyle w:val="NoSpacing"/>
              <w:spacing w:line="240" w:lineRule="auto"/>
              <w:ind w:left="25" w:right="-108"/>
              <w:rPr>
                <w:rFonts w:ascii="Arial" w:hAnsi="Arial" w:cs="Arial"/>
              </w:rPr>
            </w:pPr>
          </w:p>
          <w:p w14:paraId="7C7ABAC1" w14:textId="77777777" w:rsidR="0076565C" w:rsidRDefault="0076565C" w:rsidP="009A4FEC">
            <w:pPr>
              <w:pStyle w:val="NoSpacing"/>
              <w:spacing w:line="240" w:lineRule="auto"/>
              <w:ind w:left="25" w:right="-108"/>
              <w:rPr>
                <w:rFonts w:ascii="Arial" w:hAnsi="Arial" w:cs="Arial"/>
              </w:rPr>
            </w:pPr>
          </w:p>
          <w:p w14:paraId="4F5A6323" w14:textId="77777777" w:rsidR="00B4770D" w:rsidRPr="00C24152" w:rsidRDefault="00B4770D" w:rsidP="00ED7CAF">
            <w:pPr>
              <w:pStyle w:val="NoSpacing"/>
              <w:spacing w:line="240" w:lineRule="auto"/>
              <w:ind w:right="-108"/>
              <w:rPr>
                <w:rFonts w:ascii="Arial" w:hAnsi="Arial" w:cs="Arial"/>
                <w:sz w:val="20"/>
                <w:szCs w:val="20"/>
              </w:rPr>
            </w:pPr>
          </w:p>
          <w:p w14:paraId="599A0BE2" w14:textId="77777777" w:rsidR="00DE5072" w:rsidRDefault="00DE5072" w:rsidP="009A4FEC">
            <w:pPr>
              <w:pStyle w:val="NoSpacing"/>
              <w:spacing w:line="240" w:lineRule="auto"/>
              <w:ind w:left="25" w:right="-108"/>
              <w:rPr>
                <w:rFonts w:ascii="Arial" w:hAnsi="Arial" w:cs="Arial"/>
              </w:rPr>
            </w:pPr>
            <w:r>
              <w:rPr>
                <w:rFonts w:ascii="Arial" w:hAnsi="Arial" w:cs="Arial"/>
              </w:rPr>
              <w:t>Partially Implemented</w:t>
            </w:r>
            <w:r w:rsidR="00BE329B">
              <w:rPr>
                <w:rFonts w:ascii="Arial" w:hAnsi="Arial" w:cs="Arial"/>
              </w:rPr>
              <w:t>.</w:t>
            </w:r>
          </w:p>
          <w:p w14:paraId="05C6B299" w14:textId="77777777" w:rsidR="00DE5072" w:rsidRDefault="00DE5072" w:rsidP="009A4FEC">
            <w:pPr>
              <w:pStyle w:val="NoSpacing"/>
              <w:spacing w:line="240" w:lineRule="auto"/>
              <w:ind w:left="25" w:right="-108"/>
              <w:rPr>
                <w:rFonts w:ascii="Arial" w:hAnsi="Arial" w:cs="Arial"/>
              </w:rPr>
            </w:pPr>
          </w:p>
          <w:p w14:paraId="32BE54BA" w14:textId="77777777" w:rsidR="00B4770D" w:rsidRPr="00B4770D" w:rsidRDefault="00B4770D" w:rsidP="009A4FEC">
            <w:pPr>
              <w:pStyle w:val="NoSpacing"/>
              <w:spacing w:line="240" w:lineRule="auto"/>
              <w:ind w:left="25" w:right="-108"/>
              <w:rPr>
                <w:rFonts w:ascii="Arial" w:hAnsi="Arial" w:cs="Arial"/>
              </w:rPr>
            </w:pPr>
            <w:r w:rsidRPr="00B4770D">
              <w:rPr>
                <w:rFonts w:ascii="Arial" w:hAnsi="Arial" w:cs="Arial"/>
              </w:rPr>
              <w:t>The Accounting Division is currently reconciling the Accounts Receivable.</w:t>
            </w:r>
          </w:p>
        </w:tc>
      </w:tr>
      <w:tr w:rsidR="00F10761" w:rsidRPr="0035547E" w14:paraId="0EB63CA3" w14:textId="77777777" w:rsidTr="00C24152">
        <w:trPr>
          <w:trHeight w:val="480"/>
        </w:trPr>
        <w:tc>
          <w:tcPr>
            <w:tcW w:w="5199" w:type="dxa"/>
          </w:tcPr>
          <w:p w14:paraId="0753EA8D" w14:textId="77777777" w:rsidR="00755D64" w:rsidRPr="00755D64" w:rsidRDefault="00755D64" w:rsidP="00755D64">
            <w:pPr>
              <w:pStyle w:val="NoSpacing"/>
              <w:ind w:left="-120" w:right="1167"/>
              <w:rPr>
                <w:rFonts w:ascii="Arial" w:hAnsi="Arial" w:cs="Arial"/>
                <w:bCs/>
                <w:color w:val="000000" w:themeColor="text1"/>
              </w:rPr>
            </w:pPr>
            <w:r w:rsidRPr="00755D64">
              <w:rPr>
                <w:rFonts w:ascii="Arial" w:hAnsi="Arial" w:cs="Arial"/>
                <w:bCs/>
                <w:color w:val="000000" w:themeColor="text1"/>
              </w:rPr>
              <w:t>Irrigation Support Project for Small Tobacco Farmers (ISPSTFs)</w:t>
            </w:r>
          </w:p>
          <w:p w14:paraId="3959D50D" w14:textId="77777777" w:rsidR="00755D64" w:rsidRPr="00C24152" w:rsidRDefault="00755D64" w:rsidP="00755D64">
            <w:pPr>
              <w:pStyle w:val="NoSpacing"/>
              <w:rPr>
                <w:rFonts w:ascii="Arial" w:hAnsi="Arial" w:cs="Arial"/>
                <w:bCs/>
                <w:color w:val="000000" w:themeColor="text1"/>
                <w:sz w:val="20"/>
                <w:szCs w:val="20"/>
              </w:rPr>
            </w:pPr>
          </w:p>
          <w:p w14:paraId="464F258B" w14:textId="2300C638" w:rsidR="0086238C" w:rsidRDefault="00755D64" w:rsidP="00BC7B11">
            <w:pPr>
              <w:pStyle w:val="NoSpacing"/>
              <w:numPr>
                <w:ilvl w:val="0"/>
                <w:numId w:val="21"/>
              </w:numPr>
              <w:tabs>
                <w:tab w:val="left" w:pos="375"/>
              </w:tabs>
              <w:spacing w:line="240" w:lineRule="auto"/>
              <w:ind w:left="-120" w:firstLine="0"/>
              <w:rPr>
                <w:rFonts w:ascii="Arial" w:hAnsi="Arial" w:cs="Arial"/>
                <w:bCs/>
                <w:color w:val="000000" w:themeColor="text1"/>
              </w:rPr>
            </w:pPr>
            <w:r w:rsidRPr="00755D64">
              <w:rPr>
                <w:rFonts w:ascii="Arial" w:hAnsi="Arial" w:cs="Arial"/>
                <w:bCs/>
                <w:color w:val="000000" w:themeColor="text1"/>
              </w:rPr>
              <w:t xml:space="preserve">Funds totaling P86.769 million transferred to 27 Local Government Units (LGUs) remained unliquidated despite the project completion due to the lack of monitoring by the Management of the completed projects in the Municipalities.  Likewise, the unutilized funds totaling P398,352 were not returned to NTA by 16 LGUs, while a total of P13.937 million unreleased funds to LGUs remained under the custody of NTA and were not reverted back to the Bureau of </w:t>
            </w:r>
            <w:r w:rsidR="0005758B">
              <w:rPr>
                <w:rFonts w:ascii="Arial" w:hAnsi="Arial" w:cs="Arial"/>
                <w:bCs/>
                <w:color w:val="000000" w:themeColor="text1"/>
              </w:rPr>
              <w:t xml:space="preserve">the </w:t>
            </w:r>
            <w:r w:rsidRPr="00755D64">
              <w:rPr>
                <w:rFonts w:ascii="Arial" w:hAnsi="Arial" w:cs="Arial"/>
                <w:bCs/>
                <w:color w:val="000000" w:themeColor="text1"/>
              </w:rPr>
              <w:t xml:space="preserve">Treasury (BTr), contrary to Item 4.9 of COA Circular No. 94-013. </w:t>
            </w:r>
          </w:p>
          <w:p w14:paraId="65602CD2" w14:textId="5027693E" w:rsidR="00755D64" w:rsidRPr="00C24152" w:rsidRDefault="00755D64" w:rsidP="00755D64">
            <w:pPr>
              <w:pStyle w:val="NoSpacing"/>
              <w:spacing w:line="240" w:lineRule="auto"/>
              <w:rPr>
                <w:rFonts w:ascii="Arial" w:hAnsi="Arial" w:cs="Arial"/>
                <w:bCs/>
                <w:color w:val="000000" w:themeColor="text1"/>
                <w:sz w:val="20"/>
                <w:szCs w:val="20"/>
              </w:rPr>
            </w:pPr>
          </w:p>
          <w:p w14:paraId="0755DDF0" w14:textId="25ABEA2F" w:rsidR="0002177A" w:rsidRDefault="00755D64" w:rsidP="00C24152">
            <w:pPr>
              <w:pStyle w:val="NoSpacing"/>
              <w:spacing w:line="240" w:lineRule="auto"/>
              <w:ind w:left="-120"/>
              <w:rPr>
                <w:rFonts w:ascii="Arial" w:hAnsi="Arial" w:cs="Arial"/>
                <w:bCs/>
                <w:color w:val="000000" w:themeColor="text1"/>
              </w:rPr>
            </w:pPr>
            <w:r w:rsidRPr="00755D64">
              <w:rPr>
                <w:rFonts w:ascii="Arial" w:hAnsi="Arial" w:cs="Arial"/>
                <w:bCs/>
                <w:color w:val="000000" w:themeColor="text1"/>
              </w:rPr>
              <w:t>We recommended that Management:</w:t>
            </w:r>
          </w:p>
          <w:p w14:paraId="7E1C19B7" w14:textId="77777777" w:rsidR="00755D64" w:rsidRPr="00755D64" w:rsidRDefault="00755D64" w:rsidP="00C24152">
            <w:pPr>
              <w:pStyle w:val="NoSpacing"/>
              <w:spacing w:line="240" w:lineRule="auto"/>
              <w:ind w:left="-120"/>
              <w:rPr>
                <w:rFonts w:ascii="Arial" w:hAnsi="Arial" w:cs="Arial"/>
                <w:bCs/>
                <w:color w:val="000000" w:themeColor="text1"/>
              </w:rPr>
            </w:pPr>
          </w:p>
          <w:p w14:paraId="17136CC8" w14:textId="77777777" w:rsidR="00755D64" w:rsidRPr="00755D64" w:rsidRDefault="00755D64" w:rsidP="00BE329B">
            <w:pPr>
              <w:pStyle w:val="NoSpacing"/>
              <w:numPr>
                <w:ilvl w:val="0"/>
                <w:numId w:val="34"/>
              </w:numPr>
              <w:tabs>
                <w:tab w:val="left" w:pos="380"/>
              </w:tabs>
              <w:spacing w:line="240" w:lineRule="auto"/>
              <w:ind w:left="-120" w:firstLine="0"/>
              <w:rPr>
                <w:rFonts w:ascii="Arial" w:hAnsi="Arial" w:cs="Arial"/>
                <w:bCs/>
                <w:color w:val="000000" w:themeColor="text1"/>
              </w:rPr>
            </w:pPr>
            <w:r w:rsidRPr="00755D64">
              <w:rPr>
                <w:rFonts w:ascii="Arial" w:hAnsi="Arial" w:cs="Arial"/>
                <w:bCs/>
                <w:color w:val="000000" w:themeColor="text1"/>
              </w:rPr>
              <w:t xml:space="preserve">Follow up the demand letters sent to concerned LGUs with unliquidated fund balances to submit the liquidation reports and   those with unutilized funds to return the amounts to NTA in compliance with COA Circular No. 94-013; and </w:t>
            </w:r>
          </w:p>
          <w:p w14:paraId="5F40EC54" w14:textId="77777777" w:rsidR="00755D64" w:rsidRDefault="00755D64" w:rsidP="00755D64">
            <w:pPr>
              <w:pStyle w:val="NoSpacing"/>
              <w:ind w:left="720"/>
              <w:rPr>
                <w:rFonts w:ascii="Arial" w:hAnsi="Arial" w:cs="Arial"/>
                <w:bCs/>
                <w:color w:val="000000" w:themeColor="text1"/>
              </w:rPr>
            </w:pPr>
          </w:p>
          <w:p w14:paraId="58B72AC8" w14:textId="4F0FD3E5" w:rsidR="00DE5072" w:rsidRDefault="00DE5072" w:rsidP="00755D64">
            <w:pPr>
              <w:pStyle w:val="NoSpacing"/>
              <w:ind w:left="720"/>
              <w:rPr>
                <w:rFonts w:ascii="Arial" w:hAnsi="Arial" w:cs="Arial"/>
                <w:bCs/>
                <w:color w:val="000000" w:themeColor="text1"/>
              </w:rPr>
            </w:pPr>
          </w:p>
          <w:p w14:paraId="2D40DA89" w14:textId="238F1F9F" w:rsidR="00905A76" w:rsidRDefault="00905A76" w:rsidP="00755D64">
            <w:pPr>
              <w:pStyle w:val="NoSpacing"/>
              <w:ind w:left="720"/>
              <w:rPr>
                <w:rFonts w:ascii="Arial" w:hAnsi="Arial" w:cs="Arial"/>
                <w:bCs/>
                <w:color w:val="000000" w:themeColor="text1"/>
              </w:rPr>
            </w:pPr>
          </w:p>
          <w:p w14:paraId="44BCD421" w14:textId="1B22C6C3" w:rsidR="00A14272" w:rsidRDefault="00A14272" w:rsidP="00755D64">
            <w:pPr>
              <w:pStyle w:val="NoSpacing"/>
              <w:ind w:left="720"/>
              <w:rPr>
                <w:rFonts w:ascii="Arial" w:hAnsi="Arial" w:cs="Arial"/>
                <w:bCs/>
                <w:color w:val="000000" w:themeColor="text1"/>
              </w:rPr>
            </w:pPr>
          </w:p>
          <w:p w14:paraId="202FF957" w14:textId="6B7D318E" w:rsidR="00A14272" w:rsidRDefault="00A14272" w:rsidP="00755D64">
            <w:pPr>
              <w:pStyle w:val="NoSpacing"/>
              <w:ind w:left="720"/>
              <w:rPr>
                <w:rFonts w:ascii="Arial" w:hAnsi="Arial" w:cs="Arial"/>
                <w:bCs/>
                <w:color w:val="000000" w:themeColor="text1"/>
              </w:rPr>
            </w:pPr>
          </w:p>
          <w:p w14:paraId="3CE30235" w14:textId="77777777" w:rsidR="00A14272" w:rsidRDefault="00A14272" w:rsidP="00755D64">
            <w:pPr>
              <w:pStyle w:val="NoSpacing"/>
              <w:ind w:left="720"/>
              <w:rPr>
                <w:rFonts w:ascii="Arial" w:hAnsi="Arial" w:cs="Arial"/>
                <w:bCs/>
                <w:color w:val="000000" w:themeColor="text1"/>
              </w:rPr>
            </w:pPr>
          </w:p>
          <w:p w14:paraId="433BF308" w14:textId="1D760744" w:rsidR="002D5020" w:rsidRDefault="002D5020" w:rsidP="00C24152">
            <w:pPr>
              <w:pStyle w:val="NoSpacing"/>
              <w:rPr>
                <w:rFonts w:ascii="Arial" w:hAnsi="Arial" w:cs="Arial"/>
                <w:bCs/>
                <w:color w:val="000000" w:themeColor="text1"/>
              </w:rPr>
            </w:pPr>
          </w:p>
          <w:p w14:paraId="0C83DF9F" w14:textId="77777777" w:rsidR="0086238C" w:rsidRDefault="00755D64" w:rsidP="00BC7B11">
            <w:pPr>
              <w:pStyle w:val="NoSpacing"/>
              <w:numPr>
                <w:ilvl w:val="0"/>
                <w:numId w:val="34"/>
              </w:numPr>
              <w:tabs>
                <w:tab w:val="left" w:pos="380"/>
              </w:tabs>
              <w:spacing w:line="240" w:lineRule="auto"/>
              <w:ind w:left="-120" w:firstLine="0"/>
              <w:rPr>
                <w:rFonts w:ascii="Arial" w:hAnsi="Arial" w:cs="Arial"/>
                <w:bCs/>
                <w:color w:val="000000" w:themeColor="text1"/>
              </w:rPr>
            </w:pPr>
            <w:r w:rsidRPr="00755D64">
              <w:rPr>
                <w:rFonts w:ascii="Arial" w:hAnsi="Arial" w:cs="Arial"/>
                <w:bCs/>
                <w:color w:val="000000" w:themeColor="text1"/>
              </w:rPr>
              <w:t xml:space="preserve">Revert back to BTr the unreleased funds to LGUs for completed irrigation projects and projects not implemented. </w:t>
            </w:r>
          </w:p>
          <w:p w14:paraId="3A269D1F" w14:textId="77777777" w:rsidR="00F10761" w:rsidRPr="00F10761" w:rsidRDefault="00F10761" w:rsidP="00F10761">
            <w:pPr>
              <w:pStyle w:val="NoSpacing"/>
              <w:spacing w:line="240" w:lineRule="auto"/>
              <w:ind w:left="-120"/>
              <w:rPr>
                <w:rFonts w:ascii="Arial" w:hAnsi="Arial" w:cs="Arial"/>
                <w:color w:val="000000" w:themeColor="text1"/>
              </w:rPr>
            </w:pPr>
          </w:p>
        </w:tc>
        <w:tc>
          <w:tcPr>
            <w:tcW w:w="3801" w:type="dxa"/>
          </w:tcPr>
          <w:p w14:paraId="7666773D" w14:textId="77777777" w:rsidR="00F10761" w:rsidRDefault="00F10761" w:rsidP="009A4FEC">
            <w:pPr>
              <w:pStyle w:val="NoSpacing"/>
              <w:spacing w:line="240" w:lineRule="auto"/>
              <w:ind w:left="25" w:right="-108"/>
              <w:rPr>
                <w:rFonts w:ascii="Arial" w:hAnsi="Arial" w:cs="Arial"/>
              </w:rPr>
            </w:pPr>
          </w:p>
          <w:p w14:paraId="53F95C37" w14:textId="77777777" w:rsidR="00B4770D" w:rsidRDefault="00B4770D" w:rsidP="009A4FEC">
            <w:pPr>
              <w:pStyle w:val="NoSpacing"/>
              <w:spacing w:line="240" w:lineRule="auto"/>
              <w:ind w:left="25" w:right="-108"/>
              <w:rPr>
                <w:rFonts w:ascii="Arial" w:hAnsi="Arial" w:cs="Arial"/>
              </w:rPr>
            </w:pPr>
          </w:p>
          <w:p w14:paraId="205389F7" w14:textId="77777777" w:rsidR="00B4770D" w:rsidRPr="00C24152" w:rsidRDefault="00B4770D" w:rsidP="009A4FEC">
            <w:pPr>
              <w:pStyle w:val="NoSpacing"/>
              <w:spacing w:line="240" w:lineRule="auto"/>
              <w:ind w:left="25" w:right="-108"/>
              <w:rPr>
                <w:rFonts w:ascii="Arial" w:hAnsi="Arial" w:cs="Arial"/>
                <w:sz w:val="20"/>
                <w:szCs w:val="20"/>
              </w:rPr>
            </w:pPr>
          </w:p>
          <w:p w14:paraId="3FE0965B" w14:textId="77777777" w:rsidR="00B4770D" w:rsidRDefault="00B4770D" w:rsidP="009A4FEC">
            <w:pPr>
              <w:pStyle w:val="NoSpacing"/>
              <w:spacing w:line="240" w:lineRule="auto"/>
              <w:ind w:left="25" w:right="-108"/>
              <w:rPr>
                <w:rFonts w:ascii="Arial" w:hAnsi="Arial" w:cs="Arial"/>
              </w:rPr>
            </w:pPr>
          </w:p>
          <w:p w14:paraId="25F501CB" w14:textId="77777777" w:rsidR="00B4770D" w:rsidRDefault="00B4770D" w:rsidP="009A4FEC">
            <w:pPr>
              <w:pStyle w:val="NoSpacing"/>
              <w:spacing w:line="240" w:lineRule="auto"/>
              <w:ind w:left="25" w:right="-108"/>
              <w:rPr>
                <w:rFonts w:ascii="Arial" w:hAnsi="Arial" w:cs="Arial"/>
              </w:rPr>
            </w:pPr>
          </w:p>
          <w:p w14:paraId="43528F54" w14:textId="77777777" w:rsidR="00B4770D" w:rsidRDefault="00B4770D" w:rsidP="009A4FEC">
            <w:pPr>
              <w:pStyle w:val="NoSpacing"/>
              <w:spacing w:line="240" w:lineRule="auto"/>
              <w:ind w:left="25" w:right="-108"/>
              <w:rPr>
                <w:rFonts w:ascii="Arial" w:hAnsi="Arial" w:cs="Arial"/>
              </w:rPr>
            </w:pPr>
          </w:p>
          <w:p w14:paraId="51516766" w14:textId="77777777" w:rsidR="00B4770D" w:rsidRDefault="00B4770D" w:rsidP="009A4FEC">
            <w:pPr>
              <w:pStyle w:val="NoSpacing"/>
              <w:spacing w:line="240" w:lineRule="auto"/>
              <w:ind w:left="25" w:right="-108"/>
              <w:rPr>
                <w:rFonts w:ascii="Arial" w:hAnsi="Arial" w:cs="Arial"/>
              </w:rPr>
            </w:pPr>
          </w:p>
          <w:p w14:paraId="3AF8A4BF" w14:textId="77777777" w:rsidR="00B4770D" w:rsidRDefault="00B4770D" w:rsidP="009A4FEC">
            <w:pPr>
              <w:pStyle w:val="NoSpacing"/>
              <w:spacing w:line="240" w:lineRule="auto"/>
              <w:ind w:left="25" w:right="-108"/>
              <w:rPr>
                <w:rFonts w:ascii="Arial" w:hAnsi="Arial" w:cs="Arial"/>
              </w:rPr>
            </w:pPr>
          </w:p>
          <w:p w14:paraId="6FD5146B" w14:textId="77777777" w:rsidR="00B4770D" w:rsidRDefault="00B4770D" w:rsidP="009A4FEC">
            <w:pPr>
              <w:pStyle w:val="NoSpacing"/>
              <w:spacing w:line="240" w:lineRule="auto"/>
              <w:ind w:left="25" w:right="-108"/>
              <w:rPr>
                <w:rFonts w:ascii="Arial" w:hAnsi="Arial" w:cs="Arial"/>
              </w:rPr>
            </w:pPr>
          </w:p>
          <w:p w14:paraId="5C7D2F53" w14:textId="77777777" w:rsidR="00B4770D" w:rsidRDefault="00B4770D" w:rsidP="009A4FEC">
            <w:pPr>
              <w:pStyle w:val="NoSpacing"/>
              <w:spacing w:line="240" w:lineRule="auto"/>
              <w:ind w:left="25" w:right="-108"/>
              <w:rPr>
                <w:rFonts w:ascii="Arial" w:hAnsi="Arial" w:cs="Arial"/>
              </w:rPr>
            </w:pPr>
          </w:p>
          <w:p w14:paraId="32B40841" w14:textId="77777777" w:rsidR="00DE5072" w:rsidRDefault="00DE5072" w:rsidP="009A4FEC">
            <w:pPr>
              <w:pStyle w:val="NoSpacing"/>
              <w:spacing w:line="240" w:lineRule="auto"/>
              <w:ind w:left="25" w:right="-108"/>
              <w:rPr>
                <w:rFonts w:ascii="Arial" w:hAnsi="Arial" w:cs="Arial"/>
              </w:rPr>
            </w:pPr>
          </w:p>
          <w:p w14:paraId="3FAD8320" w14:textId="7DF1AF8C" w:rsidR="00DE5072" w:rsidRDefault="00DE5072" w:rsidP="009A4FEC">
            <w:pPr>
              <w:pStyle w:val="NoSpacing"/>
              <w:spacing w:line="240" w:lineRule="auto"/>
              <w:ind w:left="25" w:right="-108"/>
              <w:rPr>
                <w:rFonts w:ascii="Arial" w:hAnsi="Arial" w:cs="Arial"/>
              </w:rPr>
            </w:pPr>
          </w:p>
          <w:p w14:paraId="3BE88CA3" w14:textId="77777777" w:rsidR="003A6110" w:rsidRDefault="003A6110" w:rsidP="009A4FEC">
            <w:pPr>
              <w:pStyle w:val="NoSpacing"/>
              <w:spacing w:line="240" w:lineRule="auto"/>
              <w:ind w:left="25" w:right="-108"/>
              <w:rPr>
                <w:rFonts w:ascii="Arial" w:hAnsi="Arial" w:cs="Arial"/>
              </w:rPr>
            </w:pPr>
          </w:p>
          <w:p w14:paraId="49DA07C6" w14:textId="77777777" w:rsidR="00394830" w:rsidRDefault="00394830" w:rsidP="009A4FEC">
            <w:pPr>
              <w:pStyle w:val="NoSpacing"/>
              <w:spacing w:line="240" w:lineRule="auto"/>
              <w:ind w:left="25" w:right="-108"/>
              <w:rPr>
                <w:rFonts w:ascii="Arial" w:hAnsi="Arial" w:cs="Arial"/>
              </w:rPr>
            </w:pPr>
          </w:p>
          <w:p w14:paraId="3E5AB2F4" w14:textId="2CBBB28B" w:rsidR="00DE5072" w:rsidRPr="00C24152" w:rsidRDefault="00DE5072" w:rsidP="009A4FEC">
            <w:pPr>
              <w:pStyle w:val="NoSpacing"/>
              <w:spacing w:line="240" w:lineRule="auto"/>
              <w:ind w:left="25" w:right="-108"/>
              <w:rPr>
                <w:rFonts w:ascii="Arial" w:hAnsi="Arial" w:cs="Arial"/>
                <w:sz w:val="20"/>
                <w:szCs w:val="20"/>
              </w:rPr>
            </w:pPr>
          </w:p>
          <w:p w14:paraId="37BD3B1D" w14:textId="07C6FC0B" w:rsidR="00B47F2A" w:rsidRDefault="00B47F2A" w:rsidP="009A4FEC">
            <w:pPr>
              <w:pStyle w:val="NoSpacing"/>
              <w:spacing w:line="240" w:lineRule="auto"/>
              <w:ind w:left="25" w:right="-108"/>
              <w:rPr>
                <w:rFonts w:ascii="Arial" w:hAnsi="Arial" w:cs="Arial"/>
              </w:rPr>
            </w:pPr>
          </w:p>
          <w:p w14:paraId="77BFE47F" w14:textId="77777777" w:rsidR="0002177A" w:rsidRDefault="0002177A" w:rsidP="009A4FEC">
            <w:pPr>
              <w:pStyle w:val="NoSpacing"/>
              <w:spacing w:line="240" w:lineRule="auto"/>
              <w:ind w:left="25" w:right="-108"/>
              <w:rPr>
                <w:rFonts w:ascii="Arial" w:hAnsi="Arial" w:cs="Arial"/>
              </w:rPr>
            </w:pPr>
          </w:p>
          <w:p w14:paraId="38900139" w14:textId="77777777" w:rsidR="00B4770D" w:rsidRDefault="00DE5072" w:rsidP="009A4FEC">
            <w:pPr>
              <w:pStyle w:val="NoSpacing"/>
              <w:spacing w:line="240" w:lineRule="auto"/>
              <w:ind w:left="25" w:right="-108"/>
              <w:rPr>
                <w:rFonts w:ascii="Arial" w:hAnsi="Arial" w:cs="Arial"/>
              </w:rPr>
            </w:pPr>
            <w:r>
              <w:rPr>
                <w:rFonts w:ascii="Arial" w:hAnsi="Arial" w:cs="Arial"/>
              </w:rPr>
              <w:t>Partially Implemented</w:t>
            </w:r>
            <w:r w:rsidR="00BE329B">
              <w:rPr>
                <w:rFonts w:ascii="Arial" w:hAnsi="Arial" w:cs="Arial"/>
              </w:rPr>
              <w:t>.</w:t>
            </w:r>
          </w:p>
          <w:p w14:paraId="078BC599" w14:textId="77777777" w:rsidR="00B4770D" w:rsidRDefault="00B4770D" w:rsidP="009A4FEC">
            <w:pPr>
              <w:pStyle w:val="NoSpacing"/>
              <w:spacing w:line="240" w:lineRule="auto"/>
              <w:ind w:left="25" w:right="-108"/>
              <w:rPr>
                <w:rFonts w:ascii="Arial" w:hAnsi="Arial" w:cs="Arial"/>
              </w:rPr>
            </w:pPr>
          </w:p>
          <w:p w14:paraId="1828228D" w14:textId="3598BE84" w:rsidR="00B4770D" w:rsidRPr="00B4770D" w:rsidRDefault="00B4770D" w:rsidP="009A4FEC">
            <w:pPr>
              <w:pStyle w:val="NoSpacing"/>
              <w:ind w:left="25" w:right="-43"/>
              <w:rPr>
                <w:rFonts w:ascii="Arial" w:hAnsi="Arial" w:cs="Arial"/>
              </w:rPr>
            </w:pPr>
            <w:r w:rsidRPr="00B4770D">
              <w:rPr>
                <w:rFonts w:ascii="Arial" w:hAnsi="Arial" w:cs="Arial"/>
              </w:rPr>
              <w:t xml:space="preserve">The amount </w:t>
            </w:r>
            <w:r w:rsidRPr="003C6DDB">
              <w:rPr>
                <w:rFonts w:ascii="Arial" w:hAnsi="Arial" w:cs="Arial"/>
              </w:rPr>
              <w:t>of P1</w:t>
            </w:r>
            <w:r w:rsidR="00DF0D3E" w:rsidRPr="003C6DDB">
              <w:rPr>
                <w:rFonts w:ascii="Arial" w:hAnsi="Arial" w:cs="Arial"/>
              </w:rPr>
              <w:t>84</w:t>
            </w:r>
            <w:r w:rsidR="00E1303A" w:rsidRPr="003C6DDB">
              <w:rPr>
                <w:rFonts w:ascii="Arial" w:hAnsi="Arial" w:cs="Arial"/>
              </w:rPr>
              <w:t>,</w:t>
            </w:r>
            <w:r w:rsidR="00DF0D3E" w:rsidRPr="003C6DDB">
              <w:rPr>
                <w:rFonts w:ascii="Arial" w:hAnsi="Arial" w:cs="Arial"/>
              </w:rPr>
              <w:t>923</w:t>
            </w:r>
            <w:r w:rsidRPr="00B4770D">
              <w:rPr>
                <w:rFonts w:ascii="Arial" w:hAnsi="Arial" w:cs="Arial"/>
              </w:rPr>
              <w:t xml:space="preserve"> from </w:t>
            </w:r>
            <w:r w:rsidR="00DF0D3E">
              <w:rPr>
                <w:rFonts w:ascii="Arial" w:hAnsi="Arial" w:cs="Arial"/>
              </w:rPr>
              <w:t>six</w:t>
            </w:r>
            <w:r w:rsidRPr="00B4770D">
              <w:rPr>
                <w:rFonts w:ascii="Arial" w:hAnsi="Arial" w:cs="Arial"/>
              </w:rPr>
              <w:t xml:space="preserve"> </w:t>
            </w:r>
            <w:r w:rsidRPr="00A14272">
              <w:rPr>
                <w:rFonts w:ascii="Arial" w:hAnsi="Arial" w:cs="Arial"/>
              </w:rPr>
              <w:t>LGUs has been refunded to NTA</w:t>
            </w:r>
            <w:r w:rsidR="00905A76" w:rsidRPr="00A14272">
              <w:rPr>
                <w:rFonts w:ascii="Arial" w:hAnsi="Arial" w:cs="Arial"/>
              </w:rPr>
              <w:t xml:space="preserve"> per OR No</w:t>
            </w:r>
            <w:r w:rsidR="00DF0D3E" w:rsidRPr="00C24152">
              <w:rPr>
                <w:rFonts w:ascii="Arial" w:hAnsi="Arial" w:cs="Arial"/>
              </w:rPr>
              <w:t>s</w:t>
            </w:r>
            <w:r w:rsidR="00905A76" w:rsidRPr="00A14272">
              <w:rPr>
                <w:rFonts w:ascii="Arial" w:hAnsi="Arial" w:cs="Arial"/>
              </w:rPr>
              <w:t>.</w:t>
            </w:r>
            <w:r w:rsidR="00DF0D3E" w:rsidRPr="00C24152">
              <w:rPr>
                <w:rFonts w:ascii="Arial" w:hAnsi="Arial" w:cs="Arial"/>
              </w:rPr>
              <w:t xml:space="preserve"> 137006, 122256</w:t>
            </w:r>
            <w:r w:rsidR="00A14272" w:rsidRPr="00C24152">
              <w:rPr>
                <w:rFonts w:ascii="Arial" w:hAnsi="Arial" w:cs="Arial"/>
              </w:rPr>
              <w:t xml:space="preserve"> and</w:t>
            </w:r>
            <w:r w:rsidR="00DF0D3E" w:rsidRPr="00C24152">
              <w:rPr>
                <w:rFonts w:ascii="Arial" w:hAnsi="Arial" w:cs="Arial"/>
              </w:rPr>
              <w:t xml:space="preserve"> 122257, 122146</w:t>
            </w:r>
            <w:r w:rsidR="00A14272" w:rsidRPr="00C24152">
              <w:rPr>
                <w:rFonts w:ascii="Arial" w:hAnsi="Arial" w:cs="Arial"/>
              </w:rPr>
              <w:t>,</w:t>
            </w:r>
            <w:r w:rsidR="00DF0D3E" w:rsidRPr="00C24152">
              <w:rPr>
                <w:rFonts w:ascii="Arial" w:hAnsi="Arial" w:cs="Arial"/>
              </w:rPr>
              <w:t xml:space="preserve"> and 122158 d</w:t>
            </w:r>
            <w:r w:rsidR="00905A76" w:rsidRPr="00A14272">
              <w:rPr>
                <w:rFonts w:ascii="Arial" w:hAnsi="Arial" w:cs="Arial"/>
              </w:rPr>
              <w:t>ated</w:t>
            </w:r>
            <w:r w:rsidR="00DF0D3E" w:rsidRPr="00C24152">
              <w:rPr>
                <w:rFonts w:ascii="Arial" w:hAnsi="Arial" w:cs="Arial"/>
              </w:rPr>
              <w:t xml:space="preserve"> 3/15/</w:t>
            </w:r>
            <w:r w:rsidR="00097E61">
              <w:rPr>
                <w:rFonts w:ascii="Arial" w:hAnsi="Arial" w:cs="Arial"/>
              </w:rPr>
              <w:t>20</w:t>
            </w:r>
            <w:r w:rsidR="00DF0D3E" w:rsidRPr="00C24152">
              <w:rPr>
                <w:rFonts w:ascii="Arial" w:hAnsi="Arial" w:cs="Arial"/>
              </w:rPr>
              <w:t>19, 6/11/</w:t>
            </w:r>
            <w:r w:rsidR="00097E61">
              <w:rPr>
                <w:rFonts w:ascii="Arial" w:hAnsi="Arial" w:cs="Arial"/>
              </w:rPr>
              <w:t>20</w:t>
            </w:r>
            <w:r w:rsidR="00DF0D3E" w:rsidRPr="00C24152">
              <w:rPr>
                <w:rFonts w:ascii="Arial" w:hAnsi="Arial" w:cs="Arial"/>
              </w:rPr>
              <w:t>19, 3/29/</w:t>
            </w:r>
            <w:r w:rsidR="00097E61">
              <w:rPr>
                <w:rFonts w:ascii="Arial" w:hAnsi="Arial" w:cs="Arial"/>
              </w:rPr>
              <w:t>20</w:t>
            </w:r>
            <w:r w:rsidR="00DF0D3E" w:rsidRPr="00C24152">
              <w:rPr>
                <w:rFonts w:ascii="Arial" w:hAnsi="Arial" w:cs="Arial"/>
              </w:rPr>
              <w:t>19 and 4/17/</w:t>
            </w:r>
            <w:r w:rsidR="00097E61">
              <w:rPr>
                <w:rFonts w:ascii="Arial" w:hAnsi="Arial" w:cs="Arial"/>
              </w:rPr>
              <w:t>20</w:t>
            </w:r>
            <w:r w:rsidR="00DF0D3E" w:rsidRPr="00C24152">
              <w:rPr>
                <w:rFonts w:ascii="Arial" w:hAnsi="Arial" w:cs="Arial"/>
              </w:rPr>
              <w:t>19</w:t>
            </w:r>
            <w:r w:rsidR="00A14272" w:rsidRPr="00C24152">
              <w:rPr>
                <w:rFonts w:ascii="Arial" w:hAnsi="Arial" w:cs="Arial"/>
              </w:rPr>
              <w:t>, respectively</w:t>
            </w:r>
            <w:r w:rsidR="00905A76" w:rsidRPr="00A14272">
              <w:rPr>
                <w:rFonts w:ascii="Arial" w:hAnsi="Arial" w:cs="Arial"/>
              </w:rPr>
              <w:t>.</w:t>
            </w:r>
            <w:r w:rsidRPr="00A14272">
              <w:rPr>
                <w:rFonts w:ascii="Arial" w:hAnsi="Arial" w:cs="Arial"/>
              </w:rPr>
              <w:t xml:space="preserve"> </w:t>
            </w:r>
            <w:r w:rsidRPr="00B4770D">
              <w:rPr>
                <w:rFonts w:ascii="Arial" w:hAnsi="Arial" w:cs="Arial"/>
              </w:rPr>
              <w:t xml:space="preserve">Management shall </w:t>
            </w:r>
            <w:r w:rsidR="002D5020">
              <w:rPr>
                <w:rFonts w:ascii="Arial" w:hAnsi="Arial" w:cs="Arial"/>
              </w:rPr>
              <w:t xml:space="preserve">resend </w:t>
            </w:r>
            <w:r w:rsidRPr="00B4770D">
              <w:rPr>
                <w:rFonts w:ascii="Arial" w:hAnsi="Arial" w:cs="Arial"/>
              </w:rPr>
              <w:t xml:space="preserve">collection letters to </w:t>
            </w:r>
            <w:r w:rsidR="00BE329B">
              <w:rPr>
                <w:rFonts w:ascii="Arial" w:hAnsi="Arial" w:cs="Arial"/>
              </w:rPr>
              <w:t xml:space="preserve">seven </w:t>
            </w:r>
            <w:r w:rsidRPr="00B4770D">
              <w:rPr>
                <w:rFonts w:ascii="Arial" w:hAnsi="Arial" w:cs="Arial"/>
              </w:rPr>
              <w:t>LGUs to collect the balance of P140,734.</w:t>
            </w:r>
          </w:p>
          <w:p w14:paraId="56C235E4" w14:textId="77777777" w:rsidR="00B4770D" w:rsidRPr="00B4770D" w:rsidRDefault="00B4770D" w:rsidP="009A4FEC">
            <w:pPr>
              <w:pStyle w:val="NoSpacing"/>
              <w:spacing w:line="240" w:lineRule="auto"/>
              <w:ind w:left="25" w:right="-108"/>
              <w:rPr>
                <w:rFonts w:ascii="Arial" w:hAnsi="Arial" w:cs="Arial"/>
              </w:rPr>
            </w:pPr>
          </w:p>
          <w:p w14:paraId="739A4E48" w14:textId="77777777" w:rsidR="00DE5072" w:rsidRDefault="00DE5072" w:rsidP="009A4FEC">
            <w:pPr>
              <w:pStyle w:val="NoSpacing"/>
              <w:ind w:left="25" w:right="-43"/>
              <w:rPr>
                <w:rFonts w:ascii="Arial" w:hAnsi="Arial" w:cs="Arial"/>
              </w:rPr>
            </w:pPr>
            <w:r>
              <w:rPr>
                <w:rFonts w:ascii="Arial" w:hAnsi="Arial" w:cs="Arial"/>
              </w:rPr>
              <w:t>Not Implemented</w:t>
            </w:r>
            <w:r w:rsidR="00BE329B">
              <w:rPr>
                <w:rFonts w:ascii="Arial" w:hAnsi="Arial" w:cs="Arial"/>
              </w:rPr>
              <w:t>.</w:t>
            </w:r>
          </w:p>
          <w:p w14:paraId="01BA13ED" w14:textId="77777777" w:rsidR="00DE5072" w:rsidRDefault="00DE5072" w:rsidP="009A4FEC">
            <w:pPr>
              <w:pStyle w:val="NoSpacing"/>
              <w:ind w:left="25" w:right="-43"/>
              <w:rPr>
                <w:rFonts w:ascii="Arial" w:hAnsi="Arial" w:cs="Arial"/>
              </w:rPr>
            </w:pPr>
          </w:p>
          <w:p w14:paraId="5A9B10A3" w14:textId="6819542F" w:rsidR="00B4770D" w:rsidRPr="00B4770D" w:rsidRDefault="00B4770D" w:rsidP="009A4FEC">
            <w:pPr>
              <w:pStyle w:val="NoSpacing"/>
              <w:ind w:left="25" w:right="-43"/>
              <w:rPr>
                <w:rFonts w:ascii="Arial" w:hAnsi="Arial" w:cs="Arial"/>
              </w:rPr>
            </w:pPr>
            <w:r w:rsidRPr="00B4770D">
              <w:rPr>
                <w:rFonts w:ascii="Arial" w:hAnsi="Arial" w:cs="Arial"/>
              </w:rPr>
              <w:t>The balance of unreleased funds to date is P69</w:t>
            </w:r>
            <w:r w:rsidR="0062184C">
              <w:rPr>
                <w:rFonts w:ascii="Arial" w:hAnsi="Arial" w:cs="Arial"/>
              </w:rPr>
              <w:t>.</w:t>
            </w:r>
            <w:r w:rsidRPr="00B4770D">
              <w:rPr>
                <w:rFonts w:ascii="Arial" w:hAnsi="Arial" w:cs="Arial"/>
              </w:rPr>
              <w:t>195</w:t>
            </w:r>
            <w:r w:rsidR="0062184C">
              <w:rPr>
                <w:rFonts w:ascii="Arial" w:hAnsi="Arial" w:cs="Arial"/>
              </w:rPr>
              <w:t xml:space="preserve"> million</w:t>
            </w:r>
            <w:r w:rsidRPr="00B4770D">
              <w:rPr>
                <w:rFonts w:ascii="Arial" w:hAnsi="Arial" w:cs="Arial"/>
              </w:rPr>
              <w:t xml:space="preserve">. There are </w:t>
            </w:r>
            <w:r w:rsidR="0076565C">
              <w:rPr>
                <w:rFonts w:ascii="Arial" w:hAnsi="Arial" w:cs="Arial"/>
              </w:rPr>
              <w:t xml:space="preserve">still </w:t>
            </w:r>
            <w:r w:rsidRPr="00B4770D">
              <w:rPr>
                <w:rFonts w:ascii="Arial" w:hAnsi="Arial" w:cs="Arial"/>
              </w:rPr>
              <w:t xml:space="preserve">claims being processed by </w:t>
            </w:r>
            <w:r w:rsidR="0076565C">
              <w:rPr>
                <w:rFonts w:ascii="Arial" w:hAnsi="Arial" w:cs="Arial"/>
              </w:rPr>
              <w:t>the</w:t>
            </w:r>
            <w:r w:rsidRPr="00B4770D">
              <w:rPr>
                <w:rFonts w:ascii="Arial" w:hAnsi="Arial" w:cs="Arial"/>
              </w:rPr>
              <w:t xml:space="preserve"> in-house engineer.</w:t>
            </w:r>
          </w:p>
          <w:p w14:paraId="09DA1723" w14:textId="77777777" w:rsidR="00B4770D" w:rsidRPr="00000A5C" w:rsidRDefault="00B4770D" w:rsidP="009A4FEC">
            <w:pPr>
              <w:pStyle w:val="NoSpacing"/>
              <w:spacing w:line="240" w:lineRule="auto"/>
              <w:ind w:left="25" w:right="-108"/>
              <w:rPr>
                <w:rFonts w:ascii="Arial" w:hAnsi="Arial" w:cs="Arial"/>
              </w:rPr>
            </w:pPr>
          </w:p>
        </w:tc>
      </w:tr>
      <w:tr w:rsidR="00755D64" w:rsidRPr="0035547E" w14:paraId="41BC7F85" w14:textId="77777777" w:rsidTr="00C24152">
        <w:trPr>
          <w:trHeight w:val="480"/>
        </w:trPr>
        <w:tc>
          <w:tcPr>
            <w:tcW w:w="5199" w:type="dxa"/>
          </w:tcPr>
          <w:p w14:paraId="0040DF0F" w14:textId="77777777" w:rsidR="00755D64" w:rsidRDefault="00755D64" w:rsidP="00755D64">
            <w:pPr>
              <w:pStyle w:val="NoSpacing"/>
              <w:ind w:left="-120" w:right="1309"/>
              <w:rPr>
                <w:rFonts w:ascii="Arial" w:hAnsi="Arial" w:cs="Arial"/>
                <w:bCs/>
                <w:color w:val="000000" w:themeColor="text1"/>
              </w:rPr>
            </w:pPr>
            <w:r w:rsidRPr="00755D64">
              <w:rPr>
                <w:rFonts w:ascii="Arial" w:hAnsi="Arial" w:cs="Arial"/>
                <w:bCs/>
                <w:color w:val="000000" w:themeColor="text1"/>
              </w:rPr>
              <w:t xml:space="preserve">Procurement of Infrastructures and Goods and Services  </w:t>
            </w:r>
          </w:p>
          <w:p w14:paraId="53B9EB82" w14:textId="77777777" w:rsidR="00B4770D" w:rsidRPr="00755D64" w:rsidRDefault="00B4770D" w:rsidP="00755D64">
            <w:pPr>
              <w:pStyle w:val="NoSpacing"/>
              <w:ind w:left="-120" w:right="1309"/>
              <w:rPr>
                <w:rFonts w:ascii="Arial" w:hAnsi="Arial" w:cs="Arial"/>
                <w:bCs/>
                <w:color w:val="000000" w:themeColor="text1"/>
              </w:rPr>
            </w:pPr>
          </w:p>
          <w:p w14:paraId="1E8CC8C0" w14:textId="2EBF8636" w:rsidR="0086238C" w:rsidRDefault="00755D64" w:rsidP="00BC7B11">
            <w:pPr>
              <w:pStyle w:val="NoSpacing"/>
              <w:numPr>
                <w:ilvl w:val="0"/>
                <w:numId w:val="21"/>
              </w:numPr>
              <w:tabs>
                <w:tab w:val="left" w:pos="375"/>
              </w:tabs>
              <w:spacing w:line="240" w:lineRule="auto"/>
              <w:ind w:left="-120" w:firstLine="0"/>
              <w:rPr>
                <w:rFonts w:ascii="Arial" w:hAnsi="Arial" w:cs="Arial"/>
                <w:bCs/>
                <w:color w:val="000000" w:themeColor="text1"/>
              </w:rPr>
            </w:pPr>
            <w:r w:rsidRPr="00755D64">
              <w:rPr>
                <w:rFonts w:ascii="Arial" w:hAnsi="Arial" w:cs="Arial"/>
                <w:bCs/>
                <w:color w:val="000000" w:themeColor="text1"/>
              </w:rPr>
              <w:t>Out of the 23 procurement of infrastructures and goods and services in</w:t>
            </w:r>
            <w:r w:rsidR="00184193">
              <w:rPr>
                <w:rFonts w:ascii="Arial" w:hAnsi="Arial" w:cs="Arial"/>
                <w:bCs/>
                <w:color w:val="000000" w:themeColor="text1"/>
              </w:rPr>
              <w:t xml:space="preserve"> </w:t>
            </w:r>
            <w:r w:rsidRPr="00755D64">
              <w:rPr>
                <w:rFonts w:ascii="Arial" w:hAnsi="Arial" w:cs="Arial"/>
                <w:bCs/>
                <w:color w:val="000000" w:themeColor="text1"/>
              </w:rPr>
              <w:t xml:space="preserve">NTA HO from January 1 to December 31, 2018, 19 procurement contracts with a total contract cost of P148.566 million were not submitted to the Audit Team within the prescribed period for auditorial review and for technical evaluation by COA Technical Audit Specialist </w:t>
            </w:r>
            <w:r w:rsidR="00F00BF3">
              <w:rPr>
                <w:rFonts w:ascii="Arial" w:hAnsi="Arial" w:cs="Arial"/>
                <w:bCs/>
                <w:color w:val="000000" w:themeColor="text1"/>
              </w:rPr>
              <w:t xml:space="preserve">(TAS) </w:t>
            </w:r>
            <w:r w:rsidRPr="00755D64">
              <w:rPr>
                <w:rFonts w:ascii="Arial" w:hAnsi="Arial" w:cs="Arial"/>
                <w:bCs/>
                <w:color w:val="000000" w:themeColor="text1"/>
              </w:rPr>
              <w:t>as required under COA Circular No. 2009-001 and COA Memorandum No. 2005-027 dated February 12, 2009 and February 28, 2005, respectively.</w:t>
            </w:r>
          </w:p>
          <w:p w14:paraId="19FE2C8B" w14:textId="77777777" w:rsidR="00DE5072" w:rsidRDefault="00DE5072" w:rsidP="00DE5072">
            <w:pPr>
              <w:pStyle w:val="NoSpacing"/>
              <w:spacing w:line="240" w:lineRule="auto"/>
              <w:ind w:left="-120"/>
              <w:rPr>
                <w:rFonts w:ascii="Arial" w:hAnsi="Arial" w:cs="Arial"/>
                <w:bCs/>
                <w:color w:val="000000" w:themeColor="text1"/>
              </w:rPr>
            </w:pPr>
          </w:p>
          <w:p w14:paraId="46FF8C37" w14:textId="77777777" w:rsidR="00755D64" w:rsidRPr="00755D64" w:rsidRDefault="00755D64" w:rsidP="00755D64">
            <w:pPr>
              <w:pStyle w:val="NoSpacing"/>
              <w:spacing w:line="240" w:lineRule="auto"/>
              <w:ind w:left="-120"/>
              <w:rPr>
                <w:rFonts w:ascii="Arial" w:hAnsi="Arial" w:cs="Arial"/>
                <w:bCs/>
                <w:color w:val="000000" w:themeColor="text1"/>
              </w:rPr>
            </w:pPr>
            <w:r w:rsidRPr="00755D64">
              <w:rPr>
                <w:rFonts w:ascii="Arial" w:hAnsi="Arial" w:cs="Arial"/>
                <w:bCs/>
                <w:color w:val="000000" w:themeColor="text1"/>
              </w:rPr>
              <w:t>We recommended that Management require the Bids and Awards Committee to submit the contracts and all supporting documents including the certified true copies of the eligibility documents to provide reasonable time to the Audit Team and the COA-TAS for the immediate conduct of the auditorial review and technical evaluation, respectively.</w:t>
            </w:r>
          </w:p>
          <w:p w14:paraId="54B2EAE7" w14:textId="77777777" w:rsidR="00755D64" w:rsidRPr="00755D64" w:rsidRDefault="00755D64" w:rsidP="00755D64">
            <w:pPr>
              <w:pStyle w:val="NoSpacing"/>
              <w:ind w:left="-120" w:right="1167"/>
              <w:rPr>
                <w:rFonts w:ascii="Arial" w:hAnsi="Arial" w:cs="Arial"/>
                <w:bCs/>
                <w:color w:val="000000" w:themeColor="text1"/>
              </w:rPr>
            </w:pPr>
          </w:p>
        </w:tc>
        <w:tc>
          <w:tcPr>
            <w:tcW w:w="3801" w:type="dxa"/>
          </w:tcPr>
          <w:p w14:paraId="6EEA8059" w14:textId="77777777" w:rsidR="00755D64" w:rsidRDefault="00755D64" w:rsidP="009A4FEC">
            <w:pPr>
              <w:pStyle w:val="NoSpacing"/>
              <w:spacing w:line="240" w:lineRule="auto"/>
              <w:ind w:left="25" w:right="-108"/>
              <w:rPr>
                <w:rFonts w:ascii="Arial" w:hAnsi="Arial" w:cs="Arial"/>
              </w:rPr>
            </w:pPr>
          </w:p>
          <w:p w14:paraId="354ACDC5" w14:textId="77777777" w:rsidR="00B4770D" w:rsidRDefault="00B4770D" w:rsidP="009A4FEC">
            <w:pPr>
              <w:pStyle w:val="NoSpacing"/>
              <w:spacing w:line="240" w:lineRule="auto"/>
              <w:ind w:left="25" w:right="-108"/>
              <w:rPr>
                <w:rFonts w:ascii="Arial" w:hAnsi="Arial" w:cs="Arial"/>
              </w:rPr>
            </w:pPr>
          </w:p>
          <w:p w14:paraId="11C4C6BA" w14:textId="77777777" w:rsidR="00B4770D" w:rsidRDefault="00B4770D" w:rsidP="009A4FEC">
            <w:pPr>
              <w:pStyle w:val="NoSpacing"/>
              <w:spacing w:line="240" w:lineRule="auto"/>
              <w:ind w:left="25" w:right="-108"/>
              <w:rPr>
                <w:rFonts w:ascii="Arial" w:hAnsi="Arial" w:cs="Arial"/>
              </w:rPr>
            </w:pPr>
          </w:p>
          <w:p w14:paraId="45087DF9" w14:textId="77777777" w:rsidR="00B4770D" w:rsidRDefault="00B4770D" w:rsidP="009A4FEC">
            <w:pPr>
              <w:pStyle w:val="NoSpacing"/>
              <w:spacing w:line="240" w:lineRule="auto"/>
              <w:ind w:left="25" w:right="-108"/>
              <w:rPr>
                <w:rFonts w:ascii="Arial" w:hAnsi="Arial" w:cs="Arial"/>
              </w:rPr>
            </w:pPr>
          </w:p>
          <w:p w14:paraId="71D5A055" w14:textId="77777777" w:rsidR="00B4770D" w:rsidRDefault="00B4770D" w:rsidP="009A4FEC">
            <w:pPr>
              <w:pStyle w:val="NoSpacing"/>
              <w:spacing w:line="240" w:lineRule="auto"/>
              <w:ind w:left="25" w:right="-108"/>
              <w:rPr>
                <w:rFonts w:ascii="Arial" w:hAnsi="Arial" w:cs="Arial"/>
              </w:rPr>
            </w:pPr>
          </w:p>
          <w:p w14:paraId="2B74C5C8" w14:textId="77777777" w:rsidR="00B4770D" w:rsidRDefault="00B4770D" w:rsidP="009A4FEC">
            <w:pPr>
              <w:pStyle w:val="NoSpacing"/>
              <w:spacing w:line="240" w:lineRule="auto"/>
              <w:ind w:left="25" w:right="-108"/>
              <w:rPr>
                <w:rFonts w:ascii="Arial" w:hAnsi="Arial" w:cs="Arial"/>
              </w:rPr>
            </w:pPr>
          </w:p>
          <w:p w14:paraId="39D44886" w14:textId="77777777" w:rsidR="00B4770D" w:rsidRDefault="00B4770D" w:rsidP="009A4FEC">
            <w:pPr>
              <w:pStyle w:val="NoSpacing"/>
              <w:spacing w:line="240" w:lineRule="auto"/>
              <w:ind w:left="25" w:right="-108"/>
              <w:rPr>
                <w:rFonts w:ascii="Arial" w:hAnsi="Arial" w:cs="Arial"/>
              </w:rPr>
            </w:pPr>
          </w:p>
          <w:p w14:paraId="1FEEFF5E" w14:textId="77777777" w:rsidR="00B4770D" w:rsidRDefault="00B4770D" w:rsidP="009A4FEC">
            <w:pPr>
              <w:pStyle w:val="NoSpacing"/>
              <w:spacing w:line="240" w:lineRule="auto"/>
              <w:ind w:left="25" w:right="-108"/>
              <w:rPr>
                <w:rFonts w:ascii="Arial" w:hAnsi="Arial" w:cs="Arial"/>
              </w:rPr>
            </w:pPr>
          </w:p>
          <w:p w14:paraId="2EC785F4" w14:textId="77777777" w:rsidR="00B4770D" w:rsidRDefault="00B4770D" w:rsidP="009A4FEC">
            <w:pPr>
              <w:pStyle w:val="NoSpacing"/>
              <w:spacing w:line="240" w:lineRule="auto"/>
              <w:ind w:left="25" w:right="-108"/>
              <w:rPr>
                <w:rFonts w:ascii="Arial" w:hAnsi="Arial" w:cs="Arial"/>
              </w:rPr>
            </w:pPr>
          </w:p>
          <w:p w14:paraId="376A9C16" w14:textId="77777777" w:rsidR="00B4770D" w:rsidRDefault="00B4770D" w:rsidP="009A4FEC">
            <w:pPr>
              <w:pStyle w:val="NoSpacing"/>
              <w:spacing w:line="240" w:lineRule="auto"/>
              <w:ind w:left="25" w:right="-108"/>
              <w:rPr>
                <w:rFonts w:ascii="Arial" w:hAnsi="Arial" w:cs="Arial"/>
              </w:rPr>
            </w:pPr>
          </w:p>
          <w:p w14:paraId="6F913F42" w14:textId="77777777" w:rsidR="00B4770D" w:rsidRDefault="00B4770D" w:rsidP="009A4FEC">
            <w:pPr>
              <w:pStyle w:val="NoSpacing"/>
              <w:spacing w:line="240" w:lineRule="auto"/>
              <w:ind w:left="25" w:right="-108"/>
              <w:rPr>
                <w:rFonts w:ascii="Arial" w:hAnsi="Arial" w:cs="Arial"/>
              </w:rPr>
            </w:pPr>
          </w:p>
          <w:p w14:paraId="3234B80B" w14:textId="77777777" w:rsidR="00B4770D" w:rsidRDefault="00B4770D" w:rsidP="009A4FEC">
            <w:pPr>
              <w:pStyle w:val="NoSpacing"/>
              <w:spacing w:line="240" w:lineRule="auto"/>
              <w:ind w:left="25" w:right="-108"/>
              <w:rPr>
                <w:rFonts w:ascii="Arial" w:hAnsi="Arial" w:cs="Arial"/>
              </w:rPr>
            </w:pPr>
          </w:p>
          <w:p w14:paraId="361737F3" w14:textId="7F9CC2F8" w:rsidR="00DE5072" w:rsidRDefault="00DE5072" w:rsidP="009A4FEC">
            <w:pPr>
              <w:pStyle w:val="NoSpacing"/>
              <w:spacing w:line="240" w:lineRule="auto"/>
              <w:ind w:left="25" w:right="-108"/>
              <w:rPr>
                <w:rFonts w:ascii="Arial" w:hAnsi="Arial" w:cs="Arial"/>
              </w:rPr>
            </w:pPr>
          </w:p>
          <w:p w14:paraId="54B9F066" w14:textId="77777777" w:rsidR="00A14272" w:rsidRDefault="00A14272" w:rsidP="009A4FEC">
            <w:pPr>
              <w:pStyle w:val="NoSpacing"/>
              <w:spacing w:line="240" w:lineRule="auto"/>
              <w:ind w:left="25" w:right="-108"/>
              <w:rPr>
                <w:rFonts w:ascii="Arial" w:hAnsi="Arial" w:cs="Arial"/>
              </w:rPr>
            </w:pPr>
          </w:p>
          <w:p w14:paraId="33CA306E" w14:textId="77777777" w:rsidR="00DE5072" w:rsidRDefault="00DE5072" w:rsidP="009A4FEC">
            <w:pPr>
              <w:pStyle w:val="NoSpacing"/>
              <w:spacing w:line="240" w:lineRule="auto"/>
              <w:ind w:left="25" w:right="-108"/>
              <w:rPr>
                <w:rFonts w:ascii="Arial" w:hAnsi="Arial" w:cs="Arial"/>
              </w:rPr>
            </w:pPr>
            <w:r>
              <w:rPr>
                <w:rFonts w:ascii="Arial" w:hAnsi="Arial" w:cs="Arial"/>
              </w:rPr>
              <w:t>Partially Implemented</w:t>
            </w:r>
            <w:r w:rsidR="00BE329B">
              <w:rPr>
                <w:rFonts w:ascii="Arial" w:hAnsi="Arial" w:cs="Arial"/>
              </w:rPr>
              <w:t>.</w:t>
            </w:r>
          </w:p>
          <w:p w14:paraId="6EB0CCEA" w14:textId="77777777" w:rsidR="00DE5072" w:rsidRDefault="00DE5072" w:rsidP="009A4FEC">
            <w:pPr>
              <w:pStyle w:val="NoSpacing"/>
              <w:spacing w:line="240" w:lineRule="auto"/>
              <w:ind w:left="25" w:right="-108"/>
              <w:rPr>
                <w:rFonts w:ascii="Arial" w:hAnsi="Arial" w:cs="Arial"/>
              </w:rPr>
            </w:pPr>
          </w:p>
          <w:p w14:paraId="08398CA5" w14:textId="048C981E" w:rsidR="0086238C" w:rsidRDefault="00B4770D">
            <w:pPr>
              <w:pStyle w:val="NoSpacing"/>
              <w:spacing w:line="240" w:lineRule="auto"/>
              <w:ind w:left="25" w:right="-108"/>
              <w:rPr>
                <w:rFonts w:ascii="Arial" w:hAnsi="Arial" w:cs="Arial"/>
              </w:rPr>
            </w:pPr>
            <w:r w:rsidRPr="00B4770D">
              <w:rPr>
                <w:rFonts w:ascii="Arial" w:hAnsi="Arial" w:cs="Arial"/>
              </w:rPr>
              <w:t>The documents required have already been submitted</w:t>
            </w:r>
            <w:r w:rsidR="00BE329B">
              <w:rPr>
                <w:rFonts w:ascii="Arial" w:hAnsi="Arial" w:cs="Arial"/>
              </w:rPr>
              <w:t>, e</w:t>
            </w:r>
            <w:r w:rsidR="007C77CD">
              <w:rPr>
                <w:rFonts w:ascii="Arial" w:hAnsi="Arial" w:cs="Arial"/>
              </w:rPr>
              <w:t xml:space="preserve">xcept for </w:t>
            </w:r>
            <w:r w:rsidR="00BE329B">
              <w:rPr>
                <w:rFonts w:ascii="Arial" w:hAnsi="Arial" w:cs="Arial"/>
              </w:rPr>
              <w:t xml:space="preserve">the four </w:t>
            </w:r>
            <w:r w:rsidR="007C77CD">
              <w:rPr>
                <w:rFonts w:ascii="Arial" w:hAnsi="Arial" w:cs="Arial"/>
              </w:rPr>
              <w:t xml:space="preserve">procurement of goods and services which has not been submitted as of </w:t>
            </w:r>
            <w:r w:rsidR="005E2C1F">
              <w:rPr>
                <w:rFonts w:ascii="Arial" w:hAnsi="Arial" w:cs="Arial"/>
              </w:rPr>
              <w:t>audit date</w:t>
            </w:r>
            <w:r w:rsidR="007C77CD">
              <w:rPr>
                <w:rFonts w:ascii="Arial" w:hAnsi="Arial" w:cs="Arial"/>
              </w:rPr>
              <w:t>.</w:t>
            </w:r>
          </w:p>
          <w:p w14:paraId="0FB22EDD" w14:textId="6C8C100F" w:rsidR="00D952F5" w:rsidRDefault="00D952F5" w:rsidP="00C24152">
            <w:pPr>
              <w:pStyle w:val="NoSpacing"/>
              <w:spacing w:line="240" w:lineRule="auto"/>
              <w:ind w:right="-108"/>
              <w:rPr>
                <w:rFonts w:ascii="Arial" w:hAnsi="Arial" w:cs="Arial"/>
              </w:rPr>
            </w:pPr>
          </w:p>
        </w:tc>
      </w:tr>
      <w:tr w:rsidR="00755D64" w:rsidRPr="0035547E" w14:paraId="65E6ECA0" w14:textId="77777777" w:rsidTr="00C24152">
        <w:trPr>
          <w:trHeight w:val="480"/>
        </w:trPr>
        <w:tc>
          <w:tcPr>
            <w:tcW w:w="5199" w:type="dxa"/>
          </w:tcPr>
          <w:p w14:paraId="7774E3BC" w14:textId="336078D9" w:rsidR="00755D64" w:rsidRPr="00755D64" w:rsidRDefault="00755D64" w:rsidP="00755D64">
            <w:pPr>
              <w:pStyle w:val="NoSpacing"/>
              <w:ind w:left="-120" w:right="1167"/>
              <w:rPr>
                <w:rFonts w:ascii="Arial" w:hAnsi="Arial" w:cs="Arial"/>
                <w:bCs/>
              </w:rPr>
            </w:pPr>
            <w:r w:rsidRPr="00755D64">
              <w:rPr>
                <w:rFonts w:ascii="Arial" w:hAnsi="Arial" w:cs="Arial"/>
                <w:bCs/>
              </w:rPr>
              <w:t>Integrated Farming and Other Income Generating Activities Project – Tobacco Contract Growing System (IFOIGAP – TCGS)</w:t>
            </w:r>
          </w:p>
          <w:p w14:paraId="5A519C01" w14:textId="77777777" w:rsidR="00755D64" w:rsidRDefault="00755D64" w:rsidP="00755D64">
            <w:pPr>
              <w:pStyle w:val="NoSpacing"/>
              <w:rPr>
                <w:rFonts w:ascii="Arial" w:hAnsi="Arial" w:cs="Arial"/>
                <w:b/>
              </w:rPr>
            </w:pPr>
          </w:p>
          <w:p w14:paraId="6EA4EF2D" w14:textId="6FB80D03" w:rsidR="0086238C" w:rsidRDefault="0086238C" w:rsidP="00BC7B11">
            <w:pPr>
              <w:pStyle w:val="NoSpacing"/>
              <w:numPr>
                <w:ilvl w:val="0"/>
                <w:numId w:val="21"/>
              </w:numPr>
              <w:tabs>
                <w:tab w:val="left" w:pos="375"/>
              </w:tabs>
              <w:spacing w:line="240" w:lineRule="auto"/>
              <w:ind w:left="-120" w:firstLine="0"/>
              <w:rPr>
                <w:rFonts w:ascii="Arial" w:hAnsi="Arial" w:cs="Arial"/>
                <w:bCs/>
              </w:rPr>
            </w:pPr>
            <w:r w:rsidRPr="00BC7B11">
              <w:rPr>
                <w:rFonts w:ascii="Arial" w:hAnsi="Arial" w:cs="Arial"/>
                <w:bCs/>
                <w:color w:val="000000" w:themeColor="text1"/>
              </w:rPr>
              <w:t>The</w:t>
            </w:r>
            <w:r w:rsidR="00755D64" w:rsidRPr="00755D64">
              <w:rPr>
                <w:rFonts w:ascii="Arial" w:hAnsi="Arial" w:cs="Arial"/>
                <w:bCs/>
              </w:rPr>
              <w:t xml:space="preserve"> fertilizers and pesticides procured based on the Farm Plan and Budget (FPB) by the NTA </w:t>
            </w:r>
            <w:r w:rsidR="00676223">
              <w:rPr>
                <w:rFonts w:ascii="Arial" w:hAnsi="Arial" w:cs="Arial"/>
                <w:bCs/>
              </w:rPr>
              <w:t xml:space="preserve">HO </w:t>
            </w:r>
            <w:r w:rsidR="00755D64" w:rsidRPr="00755D64">
              <w:rPr>
                <w:rFonts w:ascii="Arial" w:hAnsi="Arial" w:cs="Arial"/>
                <w:bCs/>
              </w:rPr>
              <w:t>for delivery to the NTA Branches and distribution to farmer-beneficiaries in the form of loans under IFOIGAP – TCGS exceeded the actual requirements of the farmer-beneficiaries, resulting in undistributed and expired fertilizers and pesticides amounting to P1.052 million and P2.375 million in NTA La Union and Pangasinan Branches, respectively, as at December 31, 2018.  In addition, loans released for the production and facility assistance to tobacco farmers were not properly documented and lacked the necessary supporting documents contrary to the Implementing Guidelines on IFOIGAP – TCGS. Thus, the qualifications of farmers and the regularity of the payments made could not be established.</w:t>
            </w:r>
          </w:p>
          <w:p w14:paraId="487882B7" w14:textId="77777777" w:rsidR="00F70BB7" w:rsidRDefault="00F70BB7" w:rsidP="00755D64">
            <w:pPr>
              <w:pStyle w:val="NoSpacing"/>
              <w:spacing w:line="240" w:lineRule="auto"/>
              <w:rPr>
                <w:rFonts w:ascii="Arial" w:hAnsi="Arial" w:cs="Arial"/>
                <w:bCs/>
              </w:rPr>
            </w:pPr>
          </w:p>
          <w:p w14:paraId="523B7993" w14:textId="77777777" w:rsidR="00755D64" w:rsidRPr="00755D64" w:rsidRDefault="00755D64" w:rsidP="00755D64">
            <w:pPr>
              <w:pStyle w:val="NoSpacing"/>
              <w:spacing w:line="240" w:lineRule="auto"/>
              <w:ind w:left="-120"/>
              <w:rPr>
                <w:rFonts w:ascii="Arial" w:hAnsi="Arial" w:cs="Arial"/>
                <w:bCs/>
                <w:color w:val="000000" w:themeColor="text1"/>
              </w:rPr>
            </w:pPr>
            <w:r w:rsidRPr="00755D64">
              <w:rPr>
                <w:rFonts w:ascii="Arial" w:hAnsi="Arial" w:cs="Arial"/>
                <w:bCs/>
                <w:color w:val="000000" w:themeColor="text1"/>
              </w:rPr>
              <w:t xml:space="preserve">We </w:t>
            </w:r>
            <w:r w:rsidRPr="00755D64">
              <w:rPr>
                <w:rFonts w:ascii="Arial" w:hAnsi="Arial" w:cs="Arial"/>
                <w:bCs/>
              </w:rPr>
              <w:t>recommended</w:t>
            </w:r>
            <w:r w:rsidRPr="00755D64">
              <w:rPr>
                <w:rFonts w:ascii="Arial" w:hAnsi="Arial" w:cs="Arial"/>
                <w:bCs/>
                <w:color w:val="000000" w:themeColor="text1"/>
              </w:rPr>
              <w:t xml:space="preserve"> that Management:</w:t>
            </w:r>
          </w:p>
          <w:p w14:paraId="4EB3E71A" w14:textId="77777777" w:rsidR="00755D64" w:rsidRPr="00755D64" w:rsidRDefault="00755D64" w:rsidP="00755D64">
            <w:pPr>
              <w:pStyle w:val="NoSpacing"/>
              <w:rPr>
                <w:rFonts w:ascii="Arial" w:hAnsi="Arial" w:cs="Arial"/>
                <w:bCs/>
                <w:color w:val="FF0000"/>
              </w:rPr>
            </w:pPr>
          </w:p>
          <w:p w14:paraId="66B59D18" w14:textId="2B4252CE" w:rsidR="00755D64" w:rsidRPr="00755D64" w:rsidRDefault="00755D64" w:rsidP="005670B6">
            <w:pPr>
              <w:pStyle w:val="NoSpacing"/>
              <w:numPr>
                <w:ilvl w:val="0"/>
                <w:numId w:val="37"/>
              </w:numPr>
              <w:tabs>
                <w:tab w:val="left" w:pos="380"/>
              </w:tabs>
              <w:spacing w:line="240" w:lineRule="auto"/>
              <w:ind w:left="-120" w:firstLine="0"/>
              <w:rPr>
                <w:rFonts w:ascii="Arial" w:hAnsi="Arial" w:cs="Arial"/>
                <w:bCs/>
                <w:color w:val="000000" w:themeColor="text1"/>
              </w:rPr>
            </w:pPr>
            <w:r w:rsidRPr="00755D64">
              <w:rPr>
                <w:rFonts w:ascii="Arial" w:hAnsi="Arial" w:cs="Arial"/>
                <w:bCs/>
                <w:color w:val="000000" w:themeColor="text1"/>
              </w:rPr>
              <w:t xml:space="preserve">Require the NTA Branch Offices </w:t>
            </w:r>
            <w:r w:rsidR="00676223">
              <w:rPr>
                <w:rFonts w:ascii="Arial" w:hAnsi="Arial" w:cs="Arial"/>
                <w:bCs/>
                <w:color w:val="000000" w:themeColor="text1"/>
              </w:rPr>
              <w:t xml:space="preserve">(BOs) </w:t>
            </w:r>
            <w:r w:rsidRPr="00755D64">
              <w:rPr>
                <w:rFonts w:ascii="Arial" w:hAnsi="Arial" w:cs="Arial"/>
                <w:bCs/>
                <w:color w:val="000000" w:themeColor="text1"/>
              </w:rPr>
              <w:t xml:space="preserve">to: </w:t>
            </w:r>
          </w:p>
          <w:p w14:paraId="60589AF3" w14:textId="77777777" w:rsidR="00755D64" w:rsidRPr="00755D64" w:rsidRDefault="00755D64" w:rsidP="00755D64">
            <w:pPr>
              <w:pStyle w:val="NoSpacing"/>
              <w:ind w:left="720"/>
              <w:rPr>
                <w:rFonts w:ascii="Arial" w:hAnsi="Arial" w:cs="Arial"/>
                <w:bCs/>
                <w:color w:val="000000" w:themeColor="text1"/>
              </w:rPr>
            </w:pPr>
          </w:p>
          <w:p w14:paraId="423D586F" w14:textId="77777777" w:rsidR="00755D64" w:rsidRPr="00755D64" w:rsidRDefault="00755D64" w:rsidP="005670B6">
            <w:pPr>
              <w:pStyle w:val="NoSpacing"/>
              <w:numPr>
                <w:ilvl w:val="1"/>
                <w:numId w:val="38"/>
              </w:numPr>
              <w:tabs>
                <w:tab w:val="left" w:pos="920"/>
              </w:tabs>
              <w:spacing w:line="240" w:lineRule="auto"/>
              <w:ind w:left="350" w:firstLine="0"/>
              <w:rPr>
                <w:rFonts w:ascii="Arial" w:hAnsi="Arial" w:cs="Arial"/>
                <w:bCs/>
                <w:color w:val="000000" w:themeColor="text1"/>
              </w:rPr>
            </w:pPr>
            <w:r w:rsidRPr="00755D64">
              <w:rPr>
                <w:rFonts w:ascii="Arial" w:hAnsi="Arial" w:cs="Arial"/>
                <w:bCs/>
                <w:color w:val="000000" w:themeColor="text1"/>
              </w:rPr>
              <w:t>Carefully evaluate the requirements of farmers for farm inputs and make sure that only reasonable quantity of needed items will be procured or, at least, limit the excessive inventory; and</w:t>
            </w:r>
          </w:p>
          <w:p w14:paraId="5CE8370D" w14:textId="1E78505F" w:rsidR="00FB11EC" w:rsidRDefault="00FB11EC" w:rsidP="005670B6">
            <w:pPr>
              <w:pStyle w:val="NoSpacing"/>
              <w:tabs>
                <w:tab w:val="left" w:pos="920"/>
              </w:tabs>
              <w:spacing w:line="240" w:lineRule="auto"/>
              <w:ind w:left="350"/>
              <w:rPr>
                <w:rFonts w:ascii="Arial" w:hAnsi="Arial" w:cs="Arial"/>
                <w:bCs/>
                <w:color w:val="000000" w:themeColor="text1"/>
              </w:rPr>
            </w:pPr>
          </w:p>
          <w:p w14:paraId="08B00C5B" w14:textId="749E30BB" w:rsidR="00E7749A" w:rsidRDefault="00E7749A" w:rsidP="005670B6">
            <w:pPr>
              <w:pStyle w:val="NoSpacing"/>
              <w:tabs>
                <w:tab w:val="left" w:pos="920"/>
              </w:tabs>
              <w:spacing w:line="240" w:lineRule="auto"/>
              <w:ind w:left="350"/>
              <w:rPr>
                <w:rFonts w:ascii="Arial" w:hAnsi="Arial" w:cs="Arial"/>
                <w:bCs/>
                <w:color w:val="000000" w:themeColor="text1"/>
              </w:rPr>
            </w:pPr>
          </w:p>
          <w:p w14:paraId="73C075FC" w14:textId="45CB9AC1" w:rsidR="0070598B" w:rsidRDefault="0070598B" w:rsidP="005670B6">
            <w:pPr>
              <w:pStyle w:val="NoSpacing"/>
              <w:tabs>
                <w:tab w:val="left" w:pos="920"/>
              </w:tabs>
              <w:spacing w:line="240" w:lineRule="auto"/>
              <w:ind w:left="350"/>
              <w:rPr>
                <w:rFonts w:ascii="Arial" w:hAnsi="Arial" w:cs="Arial"/>
                <w:bCs/>
                <w:color w:val="000000" w:themeColor="text1"/>
              </w:rPr>
            </w:pPr>
          </w:p>
          <w:p w14:paraId="2EFCBBDA" w14:textId="77777777" w:rsidR="003C6DDB" w:rsidRDefault="003C6DDB" w:rsidP="005670B6">
            <w:pPr>
              <w:pStyle w:val="NoSpacing"/>
              <w:tabs>
                <w:tab w:val="left" w:pos="920"/>
              </w:tabs>
              <w:spacing w:line="240" w:lineRule="auto"/>
              <w:ind w:left="350"/>
              <w:rPr>
                <w:rFonts w:ascii="Arial" w:hAnsi="Arial" w:cs="Arial"/>
                <w:bCs/>
                <w:color w:val="000000" w:themeColor="text1"/>
              </w:rPr>
            </w:pPr>
          </w:p>
          <w:p w14:paraId="5394DE30" w14:textId="5AD22572" w:rsidR="00755D64" w:rsidRDefault="00755D64" w:rsidP="005670B6">
            <w:pPr>
              <w:pStyle w:val="NoSpacing"/>
              <w:numPr>
                <w:ilvl w:val="1"/>
                <w:numId w:val="38"/>
              </w:numPr>
              <w:tabs>
                <w:tab w:val="left" w:pos="920"/>
              </w:tabs>
              <w:spacing w:line="240" w:lineRule="auto"/>
              <w:ind w:left="350" w:firstLine="0"/>
              <w:rPr>
                <w:rFonts w:ascii="Arial" w:hAnsi="Arial" w:cs="Arial"/>
                <w:bCs/>
                <w:color w:val="000000" w:themeColor="text1"/>
              </w:rPr>
            </w:pPr>
            <w:r w:rsidRPr="00755D64">
              <w:rPr>
                <w:rFonts w:ascii="Arial" w:hAnsi="Arial" w:cs="Arial"/>
                <w:bCs/>
                <w:color w:val="000000" w:themeColor="text1"/>
              </w:rPr>
              <w:t>Consider the cropping season and the evaluated requirements in making reasonable projections and estimates of farm inputs needed in preparation of FPB which will be the basis for the procurement of farm inputs to be distributed to the farmers;</w:t>
            </w:r>
          </w:p>
          <w:p w14:paraId="4AF35E28" w14:textId="77777777" w:rsidR="00CB2ABD" w:rsidRDefault="00CB2ABD" w:rsidP="00C24152">
            <w:pPr>
              <w:pStyle w:val="NoSpacing"/>
              <w:tabs>
                <w:tab w:val="left" w:pos="920"/>
              </w:tabs>
              <w:spacing w:line="240" w:lineRule="auto"/>
              <w:ind w:left="350"/>
              <w:rPr>
                <w:rFonts w:ascii="Arial" w:hAnsi="Arial" w:cs="Arial"/>
                <w:bCs/>
                <w:color w:val="000000" w:themeColor="text1"/>
              </w:rPr>
            </w:pPr>
          </w:p>
          <w:p w14:paraId="187B77EB" w14:textId="77777777" w:rsidR="00FB11EC" w:rsidRDefault="00FB11EC" w:rsidP="00B4770D">
            <w:pPr>
              <w:pStyle w:val="NoSpacing"/>
              <w:spacing w:line="240" w:lineRule="auto"/>
              <w:ind w:left="-120"/>
              <w:rPr>
                <w:rFonts w:ascii="Arial" w:hAnsi="Arial" w:cs="Arial"/>
                <w:bCs/>
                <w:color w:val="000000" w:themeColor="text1"/>
              </w:rPr>
            </w:pPr>
          </w:p>
          <w:p w14:paraId="57CA33F4" w14:textId="74DABA9C" w:rsidR="0086238C" w:rsidRDefault="00755D64" w:rsidP="00BC7B11">
            <w:pPr>
              <w:pStyle w:val="NoSpacing"/>
              <w:numPr>
                <w:ilvl w:val="0"/>
                <w:numId w:val="37"/>
              </w:numPr>
              <w:tabs>
                <w:tab w:val="left" w:pos="380"/>
              </w:tabs>
              <w:spacing w:line="240" w:lineRule="auto"/>
              <w:ind w:left="-120" w:firstLine="0"/>
              <w:rPr>
                <w:rFonts w:ascii="Arial" w:hAnsi="Arial" w:cs="Arial"/>
                <w:bCs/>
                <w:color w:val="000000" w:themeColor="text1"/>
              </w:rPr>
            </w:pPr>
            <w:r w:rsidRPr="00755D64">
              <w:rPr>
                <w:rFonts w:ascii="Arial" w:hAnsi="Arial" w:cs="Arial"/>
                <w:bCs/>
                <w:color w:val="000000" w:themeColor="text1"/>
              </w:rPr>
              <w:t xml:space="preserve">Ensure that all Disbursement Vouchers for the granting of loans to farmers are supported with the required documents as specified in the implementing guidelines of the IFOIGAP – TCGS to support the eligibility of the </w:t>
            </w:r>
            <w:r w:rsidR="008C7DEC">
              <w:rPr>
                <w:rFonts w:ascii="Arial" w:hAnsi="Arial" w:cs="Arial"/>
                <w:bCs/>
                <w:color w:val="000000" w:themeColor="text1"/>
              </w:rPr>
              <w:t>Farmer</w:t>
            </w:r>
            <w:r w:rsidR="009432CD">
              <w:rPr>
                <w:rFonts w:ascii="Arial" w:hAnsi="Arial" w:cs="Arial"/>
                <w:bCs/>
                <w:color w:val="000000" w:themeColor="text1"/>
              </w:rPr>
              <w:t>-</w:t>
            </w:r>
            <w:r w:rsidR="008C7DEC">
              <w:rPr>
                <w:rFonts w:ascii="Arial" w:hAnsi="Arial" w:cs="Arial"/>
                <w:bCs/>
                <w:color w:val="000000" w:themeColor="text1"/>
              </w:rPr>
              <w:t xml:space="preserve">Cooperators </w:t>
            </w:r>
            <w:r w:rsidR="004723F7">
              <w:rPr>
                <w:rFonts w:ascii="Arial" w:hAnsi="Arial" w:cs="Arial"/>
                <w:bCs/>
                <w:color w:val="000000" w:themeColor="text1"/>
              </w:rPr>
              <w:t>(</w:t>
            </w:r>
            <w:r w:rsidRPr="00755D64">
              <w:rPr>
                <w:rFonts w:ascii="Arial" w:hAnsi="Arial" w:cs="Arial"/>
                <w:bCs/>
                <w:color w:val="000000" w:themeColor="text1"/>
              </w:rPr>
              <w:t>FCs</w:t>
            </w:r>
            <w:r w:rsidR="004723F7">
              <w:rPr>
                <w:rFonts w:ascii="Arial" w:hAnsi="Arial" w:cs="Arial"/>
                <w:bCs/>
                <w:color w:val="000000" w:themeColor="text1"/>
              </w:rPr>
              <w:t>)</w:t>
            </w:r>
            <w:r w:rsidRPr="00755D64">
              <w:rPr>
                <w:rFonts w:ascii="Arial" w:hAnsi="Arial" w:cs="Arial"/>
                <w:bCs/>
                <w:color w:val="000000" w:themeColor="text1"/>
              </w:rPr>
              <w:t xml:space="preserve"> to the program and substantiate the regularity of the payments.</w:t>
            </w:r>
          </w:p>
          <w:p w14:paraId="0337FB00" w14:textId="77777777" w:rsidR="00755D64" w:rsidRPr="00755D64" w:rsidRDefault="00755D64" w:rsidP="00755D64">
            <w:pPr>
              <w:pStyle w:val="NoSpacing"/>
              <w:ind w:left="-120" w:right="1309"/>
              <w:rPr>
                <w:rFonts w:ascii="Arial" w:hAnsi="Arial" w:cs="Arial"/>
                <w:bCs/>
                <w:color w:val="000000" w:themeColor="text1"/>
              </w:rPr>
            </w:pPr>
          </w:p>
        </w:tc>
        <w:tc>
          <w:tcPr>
            <w:tcW w:w="3801" w:type="dxa"/>
          </w:tcPr>
          <w:p w14:paraId="15A4DCEF" w14:textId="77777777" w:rsidR="00755D64" w:rsidRDefault="00755D64" w:rsidP="009A4FEC">
            <w:pPr>
              <w:pStyle w:val="NoSpacing"/>
              <w:spacing w:line="240" w:lineRule="auto"/>
              <w:ind w:left="25" w:right="-108"/>
              <w:rPr>
                <w:rFonts w:ascii="Arial" w:hAnsi="Arial" w:cs="Arial"/>
              </w:rPr>
            </w:pPr>
          </w:p>
          <w:p w14:paraId="70BC7D90" w14:textId="77777777" w:rsidR="00B4770D" w:rsidRDefault="00B4770D" w:rsidP="009A4FEC">
            <w:pPr>
              <w:pStyle w:val="NoSpacing"/>
              <w:spacing w:line="240" w:lineRule="auto"/>
              <w:ind w:left="25" w:right="-108"/>
              <w:rPr>
                <w:rFonts w:ascii="Arial" w:hAnsi="Arial" w:cs="Arial"/>
              </w:rPr>
            </w:pPr>
          </w:p>
          <w:p w14:paraId="0A29EBC3" w14:textId="77777777" w:rsidR="00B4770D" w:rsidRDefault="00B4770D" w:rsidP="009A4FEC">
            <w:pPr>
              <w:pStyle w:val="NoSpacing"/>
              <w:spacing w:line="240" w:lineRule="auto"/>
              <w:ind w:left="25" w:right="-108"/>
              <w:rPr>
                <w:rFonts w:ascii="Arial" w:hAnsi="Arial" w:cs="Arial"/>
              </w:rPr>
            </w:pPr>
          </w:p>
          <w:p w14:paraId="0546416E" w14:textId="77777777" w:rsidR="00B4770D" w:rsidRDefault="00B4770D" w:rsidP="009A4FEC">
            <w:pPr>
              <w:pStyle w:val="NoSpacing"/>
              <w:spacing w:line="240" w:lineRule="auto"/>
              <w:ind w:left="25" w:right="-108"/>
              <w:rPr>
                <w:rFonts w:ascii="Arial" w:hAnsi="Arial" w:cs="Arial"/>
              </w:rPr>
            </w:pPr>
          </w:p>
          <w:p w14:paraId="7348C52A" w14:textId="77777777" w:rsidR="00B4770D" w:rsidRDefault="00B4770D" w:rsidP="009A4FEC">
            <w:pPr>
              <w:pStyle w:val="NoSpacing"/>
              <w:spacing w:line="240" w:lineRule="auto"/>
              <w:ind w:left="25" w:right="-108"/>
              <w:rPr>
                <w:rFonts w:ascii="Arial" w:hAnsi="Arial" w:cs="Arial"/>
              </w:rPr>
            </w:pPr>
          </w:p>
          <w:p w14:paraId="49C0E2E7" w14:textId="77777777" w:rsidR="00B4770D" w:rsidRDefault="00B4770D" w:rsidP="009A4FEC">
            <w:pPr>
              <w:pStyle w:val="NoSpacing"/>
              <w:spacing w:line="240" w:lineRule="auto"/>
              <w:ind w:left="25" w:right="-108"/>
              <w:rPr>
                <w:rFonts w:ascii="Arial" w:hAnsi="Arial" w:cs="Arial"/>
              </w:rPr>
            </w:pPr>
          </w:p>
          <w:p w14:paraId="07CDA17F" w14:textId="77777777" w:rsidR="00B4770D" w:rsidRDefault="00B4770D" w:rsidP="009A4FEC">
            <w:pPr>
              <w:pStyle w:val="NoSpacing"/>
              <w:spacing w:line="240" w:lineRule="auto"/>
              <w:ind w:left="25" w:right="-108"/>
              <w:rPr>
                <w:rFonts w:ascii="Arial" w:hAnsi="Arial" w:cs="Arial"/>
              </w:rPr>
            </w:pPr>
          </w:p>
          <w:p w14:paraId="76B935FD" w14:textId="77777777" w:rsidR="00B4770D" w:rsidRDefault="00B4770D" w:rsidP="009A4FEC">
            <w:pPr>
              <w:pStyle w:val="NoSpacing"/>
              <w:spacing w:line="240" w:lineRule="auto"/>
              <w:ind w:left="25" w:right="-108"/>
              <w:rPr>
                <w:rFonts w:ascii="Arial" w:hAnsi="Arial" w:cs="Arial"/>
              </w:rPr>
            </w:pPr>
          </w:p>
          <w:p w14:paraId="3A59153C" w14:textId="77777777" w:rsidR="00B4770D" w:rsidRDefault="00B4770D" w:rsidP="009A4FEC">
            <w:pPr>
              <w:pStyle w:val="NoSpacing"/>
              <w:spacing w:line="240" w:lineRule="auto"/>
              <w:ind w:left="25" w:right="-108"/>
              <w:rPr>
                <w:rFonts w:ascii="Arial" w:hAnsi="Arial" w:cs="Arial"/>
              </w:rPr>
            </w:pPr>
          </w:p>
          <w:p w14:paraId="06906F0D" w14:textId="77777777" w:rsidR="00B4770D" w:rsidRDefault="00B4770D" w:rsidP="009A4FEC">
            <w:pPr>
              <w:pStyle w:val="NoSpacing"/>
              <w:spacing w:line="240" w:lineRule="auto"/>
              <w:ind w:left="25" w:right="-108"/>
              <w:rPr>
                <w:rFonts w:ascii="Arial" w:hAnsi="Arial" w:cs="Arial"/>
              </w:rPr>
            </w:pPr>
          </w:p>
          <w:p w14:paraId="6E00E770" w14:textId="77777777" w:rsidR="00B4770D" w:rsidRDefault="00B4770D" w:rsidP="009A4FEC">
            <w:pPr>
              <w:pStyle w:val="NoSpacing"/>
              <w:spacing w:line="240" w:lineRule="auto"/>
              <w:ind w:left="25" w:right="-108"/>
              <w:rPr>
                <w:rFonts w:ascii="Arial" w:hAnsi="Arial" w:cs="Arial"/>
              </w:rPr>
            </w:pPr>
          </w:p>
          <w:p w14:paraId="33BBA9DA" w14:textId="77777777" w:rsidR="00B4770D" w:rsidRDefault="00B4770D" w:rsidP="009A4FEC">
            <w:pPr>
              <w:pStyle w:val="NoSpacing"/>
              <w:spacing w:line="240" w:lineRule="auto"/>
              <w:ind w:left="25" w:right="-108"/>
              <w:rPr>
                <w:rFonts w:ascii="Arial" w:hAnsi="Arial" w:cs="Arial"/>
              </w:rPr>
            </w:pPr>
          </w:p>
          <w:p w14:paraId="416FD4E8" w14:textId="77777777" w:rsidR="00B4770D" w:rsidRDefault="00B4770D" w:rsidP="009A4FEC">
            <w:pPr>
              <w:pStyle w:val="NoSpacing"/>
              <w:spacing w:line="240" w:lineRule="auto"/>
              <w:ind w:left="25" w:right="-108"/>
              <w:rPr>
                <w:rFonts w:ascii="Arial" w:hAnsi="Arial" w:cs="Arial"/>
              </w:rPr>
            </w:pPr>
          </w:p>
          <w:p w14:paraId="7A479168" w14:textId="77777777" w:rsidR="00B4770D" w:rsidRDefault="00B4770D" w:rsidP="009A4FEC">
            <w:pPr>
              <w:pStyle w:val="NoSpacing"/>
              <w:spacing w:line="240" w:lineRule="auto"/>
              <w:ind w:left="25" w:right="-108"/>
              <w:rPr>
                <w:rFonts w:ascii="Arial" w:hAnsi="Arial" w:cs="Arial"/>
              </w:rPr>
            </w:pPr>
          </w:p>
          <w:p w14:paraId="26A24DC6" w14:textId="77777777" w:rsidR="00B4770D" w:rsidRDefault="00B4770D" w:rsidP="009A4FEC">
            <w:pPr>
              <w:pStyle w:val="NoSpacing"/>
              <w:spacing w:line="240" w:lineRule="auto"/>
              <w:ind w:left="25" w:right="-108"/>
              <w:rPr>
                <w:rFonts w:ascii="Arial" w:hAnsi="Arial" w:cs="Arial"/>
              </w:rPr>
            </w:pPr>
          </w:p>
          <w:p w14:paraId="3B8E7CAC" w14:textId="77777777" w:rsidR="00B4770D" w:rsidRDefault="00B4770D" w:rsidP="009A4FEC">
            <w:pPr>
              <w:pStyle w:val="NoSpacing"/>
              <w:spacing w:line="240" w:lineRule="auto"/>
              <w:ind w:left="25" w:right="-108"/>
              <w:rPr>
                <w:rFonts w:ascii="Arial" w:hAnsi="Arial" w:cs="Arial"/>
              </w:rPr>
            </w:pPr>
          </w:p>
          <w:p w14:paraId="6451A0DC" w14:textId="77777777" w:rsidR="00B4770D" w:rsidRDefault="00B4770D" w:rsidP="009A4FEC">
            <w:pPr>
              <w:pStyle w:val="NoSpacing"/>
              <w:spacing w:line="240" w:lineRule="auto"/>
              <w:ind w:left="25" w:right="-108"/>
              <w:rPr>
                <w:rFonts w:ascii="Arial" w:hAnsi="Arial" w:cs="Arial"/>
              </w:rPr>
            </w:pPr>
          </w:p>
          <w:p w14:paraId="2A94F19D" w14:textId="77777777" w:rsidR="00B4770D" w:rsidRDefault="00B4770D" w:rsidP="009A4FEC">
            <w:pPr>
              <w:pStyle w:val="NoSpacing"/>
              <w:spacing w:line="240" w:lineRule="auto"/>
              <w:ind w:left="25" w:right="-108"/>
              <w:rPr>
                <w:rFonts w:ascii="Arial" w:hAnsi="Arial" w:cs="Arial"/>
              </w:rPr>
            </w:pPr>
          </w:p>
          <w:p w14:paraId="2F05D7C6" w14:textId="77777777" w:rsidR="00B4770D" w:rsidRDefault="00B4770D" w:rsidP="009A4FEC">
            <w:pPr>
              <w:pStyle w:val="NoSpacing"/>
              <w:spacing w:line="240" w:lineRule="auto"/>
              <w:ind w:left="25" w:right="-108"/>
              <w:rPr>
                <w:rFonts w:ascii="Arial" w:hAnsi="Arial" w:cs="Arial"/>
              </w:rPr>
            </w:pPr>
          </w:p>
          <w:p w14:paraId="0E338234" w14:textId="77777777" w:rsidR="00B4770D" w:rsidRDefault="00B4770D" w:rsidP="009A4FEC">
            <w:pPr>
              <w:pStyle w:val="NoSpacing"/>
              <w:spacing w:line="240" w:lineRule="auto"/>
              <w:ind w:left="25" w:right="-108"/>
              <w:rPr>
                <w:rFonts w:ascii="Arial" w:hAnsi="Arial" w:cs="Arial"/>
              </w:rPr>
            </w:pPr>
          </w:p>
          <w:p w14:paraId="6916AC00" w14:textId="77777777" w:rsidR="00B4770D" w:rsidRDefault="00B4770D" w:rsidP="009A4FEC">
            <w:pPr>
              <w:pStyle w:val="NoSpacing"/>
              <w:spacing w:line="240" w:lineRule="auto"/>
              <w:ind w:left="25" w:right="-108"/>
              <w:rPr>
                <w:rFonts w:ascii="Arial" w:hAnsi="Arial" w:cs="Arial"/>
              </w:rPr>
            </w:pPr>
          </w:p>
          <w:p w14:paraId="25D17529" w14:textId="77777777" w:rsidR="00B4770D" w:rsidRDefault="00B4770D" w:rsidP="009A4FEC">
            <w:pPr>
              <w:pStyle w:val="NoSpacing"/>
              <w:spacing w:line="240" w:lineRule="auto"/>
              <w:ind w:left="25" w:right="-108"/>
              <w:rPr>
                <w:rFonts w:ascii="Arial" w:hAnsi="Arial" w:cs="Arial"/>
              </w:rPr>
            </w:pPr>
          </w:p>
          <w:p w14:paraId="6F8874B7" w14:textId="77777777" w:rsidR="00B4770D" w:rsidRDefault="00B4770D" w:rsidP="009A4FEC">
            <w:pPr>
              <w:pStyle w:val="NoSpacing"/>
              <w:spacing w:line="240" w:lineRule="auto"/>
              <w:ind w:left="25" w:right="-108"/>
              <w:rPr>
                <w:rFonts w:ascii="Arial" w:hAnsi="Arial" w:cs="Arial"/>
              </w:rPr>
            </w:pPr>
          </w:p>
          <w:p w14:paraId="60F293FA" w14:textId="77777777" w:rsidR="00B4770D" w:rsidRDefault="00B4770D" w:rsidP="009A4FEC">
            <w:pPr>
              <w:pStyle w:val="NoSpacing"/>
              <w:spacing w:line="240" w:lineRule="auto"/>
              <w:ind w:left="25" w:right="-108"/>
              <w:rPr>
                <w:rFonts w:ascii="Arial" w:hAnsi="Arial" w:cs="Arial"/>
              </w:rPr>
            </w:pPr>
          </w:p>
          <w:p w14:paraId="5AC76C56" w14:textId="77777777" w:rsidR="00DE5072" w:rsidRPr="00C24152" w:rsidRDefault="00DE5072" w:rsidP="009A4FEC">
            <w:pPr>
              <w:pStyle w:val="NoSpacing"/>
              <w:ind w:left="25" w:right="-43"/>
              <w:rPr>
                <w:rFonts w:ascii="Arial" w:hAnsi="Arial" w:cs="Arial"/>
                <w:sz w:val="20"/>
                <w:szCs w:val="20"/>
              </w:rPr>
            </w:pPr>
          </w:p>
          <w:p w14:paraId="7E52C244" w14:textId="77777777" w:rsidR="00FB11EC" w:rsidRDefault="00FB11EC" w:rsidP="00ED7CAF">
            <w:pPr>
              <w:pStyle w:val="NoSpacing"/>
              <w:ind w:right="-43"/>
              <w:rPr>
                <w:rFonts w:ascii="Arial" w:hAnsi="Arial" w:cs="Arial"/>
              </w:rPr>
            </w:pPr>
          </w:p>
          <w:p w14:paraId="47F3A30A" w14:textId="77777777" w:rsidR="005468C0" w:rsidRPr="00000A5C" w:rsidRDefault="002149BD" w:rsidP="005468C0">
            <w:pPr>
              <w:pStyle w:val="NoSpacing"/>
              <w:spacing w:line="240" w:lineRule="auto"/>
              <w:ind w:right="-108"/>
              <w:rPr>
                <w:rFonts w:ascii="Arial" w:hAnsi="Arial" w:cs="Arial"/>
              </w:rPr>
            </w:pPr>
            <w:r>
              <w:rPr>
                <w:rFonts w:ascii="Arial" w:hAnsi="Arial" w:cs="Arial"/>
              </w:rPr>
              <w:t>Partially Implemented</w:t>
            </w:r>
            <w:r w:rsidR="005670B6">
              <w:rPr>
                <w:rFonts w:ascii="Arial" w:hAnsi="Arial" w:cs="Arial"/>
              </w:rPr>
              <w:t>.</w:t>
            </w:r>
          </w:p>
          <w:p w14:paraId="68C285AE" w14:textId="77777777" w:rsidR="00B4770D" w:rsidRDefault="00B4770D" w:rsidP="009A4FEC">
            <w:pPr>
              <w:pStyle w:val="NoSpacing"/>
              <w:spacing w:line="240" w:lineRule="auto"/>
              <w:ind w:left="25" w:right="-108"/>
              <w:rPr>
                <w:rFonts w:ascii="Arial" w:hAnsi="Arial" w:cs="Arial"/>
              </w:rPr>
            </w:pPr>
          </w:p>
          <w:p w14:paraId="098F5641" w14:textId="54F7FB68" w:rsidR="005468C0" w:rsidRDefault="005468C0" w:rsidP="009A4FEC">
            <w:pPr>
              <w:pStyle w:val="NoSpacing"/>
              <w:spacing w:line="240" w:lineRule="auto"/>
              <w:ind w:left="25" w:right="-108"/>
              <w:rPr>
                <w:rFonts w:ascii="Arial" w:hAnsi="Arial" w:cs="Arial"/>
              </w:rPr>
            </w:pPr>
            <w:r>
              <w:rPr>
                <w:rFonts w:ascii="Arial" w:hAnsi="Arial" w:cs="Arial"/>
              </w:rPr>
              <w:t xml:space="preserve">The </w:t>
            </w:r>
            <w:r w:rsidR="003C6DDB">
              <w:rPr>
                <w:rFonts w:ascii="Arial" w:hAnsi="Arial" w:cs="Arial"/>
              </w:rPr>
              <w:t>Farm Technology and Services Department</w:t>
            </w:r>
            <w:r>
              <w:rPr>
                <w:rFonts w:ascii="Arial" w:hAnsi="Arial" w:cs="Arial"/>
              </w:rPr>
              <w:t xml:space="preserve"> </w:t>
            </w:r>
            <w:r w:rsidR="003C6DDB">
              <w:rPr>
                <w:rFonts w:ascii="Arial" w:hAnsi="Arial" w:cs="Arial"/>
              </w:rPr>
              <w:t xml:space="preserve">(FTSD) </w:t>
            </w:r>
            <w:r>
              <w:rPr>
                <w:rFonts w:ascii="Arial" w:hAnsi="Arial" w:cs="Arial"/>
              </w:rPr>
              <w:t>has already considered the inventory on hand of the branches and these were deducted from the volume to be purchased</w:t>
            </w:r>
            <w:r w:rsidR="00FB11EC">
              <w:rPr>
                <w:rFonts w:ascii="Arial" w:hAnsi="Arial" w:cs="Arial"/>
              </w:rPr>
              <w:t>.</w:t>
            </w:r>
          </w:p>
          <w:p w14:paraId="5AECC09F" w14:textId="77777777" w:rsidR="005468C0" w:rsidRDefault="005468C0" w:rsidP="009A4FEC">
            <w:pPr>
              <w:pStyle w:val="NoSpacing"/>
              <w:spacing w:line="240" w:lineRule="auto"/>
              <w:ind w:left="25" w:right="-108"/>
              <w:rPr>
                <w:rFonts w:ascii="Arial" w:hAnsi="Arial" w:cs="Arial"/>
              </w:rPr>
            </w:pPr>
          </w:p>
          <w:p w14:paraId="47A678C4" w14:textId="77777777" w:rsidR="005468C0" w:rsidRPr="00000A5C" w:rsidRDefault="002149BD" w:rsidP="005468C0">
            <w:pPr>
              <w:pStyle w:val="NoSpacing"/>
              <w:spacing w:line="240" w:lineRule="auto"/>
              <w:ind w:right="-108"/>
              <w:rPr>
                <w:rFonts w:ascii="Arial" w:hAnsi="Arial" w:cs="Arial"/>
              </w:rPr>
            </w:pPr>
            <w:r>
              <w:rPr>
                <w:rFonts w:ascii="Arial" w:hAnsi="Arial" w:cs="Arial"/>
              </w:rPr>
              <w:t>Partially Implemented</w:t>
            </w:r>
            <w:r w:rsidR="00FB11EC">
              <w:rPr>
                <w:rFonts w:ascii="Arial" w:hAnsi="Arial" w:cs="Arial"/>
              </w:rPr>
              <w:t>.</w:t>
            </w:r>
            <w:r>
              <w:rPr>
                <w:rFonts w:ascii="Arial" w:hAnsi="Arial" w:cs="Arial"/>
              </w:rPr>
              <w:t xml:space="preserve"> </w:t>
            </w:r>
          </w:p>
          <w:p w14:paraId="5873CB59" w14:textId="77777777" w:rsidR="005468C0" w:rsidRDefault="005468C0" w:rsidP="009A4FEC">
            <w:pPr>
              <w:pStyle w:val="NoSpacing"/>
              <w:ind w:left="25" w:right="-43"/>
              <w:rPr>
                <w:rFonts w:ascii="Arial" w:hAnsi="Arial" w:cs="Arial"/>
              </w:rPr>
            </w:pPr>
          </w:p>
          <w:p w14:paraId="6D4CEE7F" w14:textId="41671F61" w:rsidR="00B4770D" w:rsidRPr="00B4770D" w:rsidRDefault="00B4770D" w:rsidP="009A4FEC">
            <w:pPr>
              <w:pStyle w:val="NoSpacing"/>
              <w:ind w:left="25" w:right="-43"/>
              <w:rPr>
                <w:rFonts w:ascii="Arial" w:hAnsi="Arial" w:cs="Arial"/>
              </w:rPr>
            </w:pPr>
            <w:r w:rsidRPr="00B4770D">
              <w:rPr>
                <w:rFonts w:ascii="Arial" w:hAnsi="Arial" w:cs="Arial"/>
              </w:rPr>
              <w:t xml:space="preserve">The BOs were required to submit their </w:t>
            </w:r>
            <w:r w:rsidR="008B5328">
              <w:rPr>
                <w:rFonts w:ascii="Arial" w:hAnsi="Arial" w:cs="Arial"/>
              </w:rPr>
              <w:t>i</w:t>
            </w:r>
            <w:r w:rsidRPr="00B4770D">
              <w:rPr>
                <w:rFonts w:ascii="Arial" w:hAnsi="Arial" w:cs="Arial"/>
              </w:rPr>
              <w:t xml:space="preserve">nventory </w:t>
            </w:r>
            <w:r w:rsidR="00FB11EC">
              <w:rPr>
                <w:rFonts w:ascii="Arial" w:hAnsi="Arial" w:cs="Arial"/>
              </w:rPr>
              <w:t>o</w:t>
            </w:r>
            <w:r w:rsidRPr="00B4770D">
              <w:rPr>
                <w:rFonts w:ascii="Arial" w:hAnsi="Arial" w:cs="Arial"/>
              </w:rPr>
              <w:t xml:space="preserve">n </w:t>
            </w:r>
            <w:r w:rsidR="008B5328">
              <w:rPr>
                <w:rFonts w:ascii="Arial" w:hAnsi="Arial" w:cs="Arial"/>
              </w:rPr>
              <w:t>h</w:t>
            </w:r>
            <w:r w:rsidRPr="00B4770D">
              <w:rPr>
                <w:rFonts w:ascii="Arial" w:hAnsi="Arial" w:cs="Arial"/>
              </w:rPr>
              <w:t>and and were instructed to deduct the balance from the submitted quantity to be purchased.</w:t>
            </w:r>
          </w:p>
          <w:p w14:paraId="3B665DD2" w14:textId="77777777" w:rsidR="00B4770D" w:rsidRDefault="00B4770D" w:rsidP="009A4FEC">
            <w:pPr>
              <w:pStyle w:val="NoSpacing"/>
              <w:spacing w:line="240" w:lineRule="auto"/>
              <w:ind w:left="25" w:right="-108"/>
              <w:rPr>
                <w:rFonts w:ascii="Arial" w:hAnsi="Arial" w:cs="Arial"/>
              </w:rPr>
            </w:pPr>
          </w:p>
          <w:p w14:paraId="5F6C3985" w14:textId="77777777" w:rsidR="005702E8" w:rsidRPr="00000A5C" w:rsidRDefault="002149BD" w:rsidP="005702E8">
            <w:pPr>
              <w:pStyle w:val="NoSpacing"/>
              <w:spacing w:line="240" w:lineRule="auto"/>
              <w:ind w:right="-108"/>
              <w:rPr>
                <w:rFonts w:ascii="Arial" w:hAnsi="Arial" w:cs="Arial"/>
              </w:rPr>
            </w:pPr>
            <w:r>
              <w:rPr>
                <w:rFonts w:ascii="Arial" w:hAnsi="Arial" w:cs="Arial"/>
              </w:rPr>
              <w:t>Partially Implemented</w:t>
            </w:r>
            <w:r w:rsidR="00FB11EC">
              <w:rPr>
                <w:rFonts w:ascii="Arial" w:hAnsi="Arial" w:cs="Arial"/>
              </w:rPr>
              <w:t>.</w:t>
            </w:r>
            <w:r>
              <w:rPr>
                <w:rFonts w:ascii="Arial" w:hAnsi="Arial" w:cs="Arial"/>
              </w:rPr>
              <w:t xml:space="preserve"> </w:t>
            </w:r>
          </w:p>
          <w:p w14:paraId="55E78E9D" w14:textId="77777777" w:rsidR="00DE5072" w:rsidRDefault="00DE5072" w:rsidP="009A4FEC">
            <w:pPr>
              <w:pStyle w:val="NoSpacing"/>
              <w:spacing w:line="240" w:lineRule="auto"/>
              <w:ind w:left="25" w:right="-108"/>
              <w:rPr>
                <w:rFonts w:ascii="Arial" w:hAnsi="Arial" w:cs="Arial"/>
              </w:rPr>
            </w:pPr>
          </w:p>
          <w:p w14:paraId="2F56FB12" w14:textId="388B0884" w:rsidR="00B4770D" w:rsidRPr="00B4770D" w:rsidRDefault="00B4770D" w:rsidP="009A4FEC">
            <w:pPr>
              <w:pStyle w:val="NoSpacing"/>
              <w:spacing w:line="240" w:lineRule="auto"/>
              <w:ind w:left="25" w:right="-108"/>
              <w:rPr>
                <w:rFonts w:ascii="Arial" w:hAnsi="Arial" w:cs="Arial"/>
              </w:rPr>
            </w:pPr>
            <w:r w:rsidRPr="00B4770D">
              <w:rPr>
                <w:rFonts w:ascii="Arial" w:hAnsi="Arial" w:cs="Arial"/>
              </w:rPr>
              <w:t>The BOs were instructed to complete the documentation</w:t>
            </w:r>
            <w:r w:rsidR="002149BD">
              <w:rPr>
                <w:rFonts w:ascii="Arial" w:hAnsi="Arial" w:cs="Arial"/>
              </w:rPr>
              <w:t xml:space="preserve"> before </w:t>
            </w:r>
            <w:r w:rsidRPr="00B4770D">
              <w:rPr>
                <w:rFonts w:ascii="Arial" w:hAnsi="Arial" w:cs="Arial"/>
              </w:rPr>
              <w:t>the release of funds to the farmers.</w:t>
            </w:r>
          </w:p>
          <w:p w14:paraId="36EAB9CE" w14:textId="77777777" w:rsidR="00B4770D" w:rsidRPr="00000A5C" w:rsidRDefault="00B4770D" w:rsidP="009A4FEC">
            <w:pPr>
              <w:pStyle w:val="NoSpacing"/>
              <w:spacing w:line="240" w:lineRule="auto"/>
              <w:ind w:left="25" w:right="-108"/>
              <w:rPr>
                <w:rFonts w:ascii="Arial" w:hAnsi="Arial" w:cs="Arial"/>
              </w:rPr>
            </w:pPr>
          </w:p>
        </w:tc>
      </w:tr>
      <w:tr w:rsidR="007B2BA8" w:rsidRPr="0035547E" w14:paraId="154A1F5E" w14:textId="77777777" w:rsidTr="00C24152">
        <w:trPr>
          <w:trHeight w:val="480"/>
        </w:trPr>
        <w:tc>
          <w:tcPr>
            <w:tcW w:w="5199" w:type="dxa"/>
          </w:tcPr>
          <w:p w14:paraId="67109954" w14:textId="77777777" w:rsidR="007B2BA8" w:rsidRPr="007B2BA8" w:rsidRDefault="007B2BA8" w:rsidP="007B2BA8">
            <w:pPr>
              <w:pStyle w:val="NoSpacing"/>
              <w:ind w:left="-120" w:right="1167"/>
              <w:rPr>
                <w:rFonts w:ascii="Arial" w:hAnsi="Arial" w:cs="Arial"/>
                <w:bCs/>
                <w:color w:val="000000" w:themeColor="text1"/>
              </w:rPr>
            </w:pPr>
            <w:r w:rsidRPr="007B2BA8">
              <w:rPr>
                <w:rFonts w:ascii="Arial" w:hAnsi="Arial" w:cs="Arial"/>
                <w:bCs/>
                <w:color w:val="000000" w:themeColor="text1"/>
              </w:rPr>
              <w:t>Disaster Risk Reduction and Management (DRRM) Program</w:t>
            </w:r>
          </w:p>
          <w:p w14:paraId="02D7183E" w14:textId="77777777" w:rsidR="007B2BA8" w:rsidRPr="007B2BA8" w:rsidRDefault="007B2BA8" w:rsidP="007B2BA8">
            <w:pPr>
              <w:pStyle w:val="NoSpacing"/>
              <w:rPr>
                <w:rFonts w:ascii="Arial" w:hAnsi="Arial" w:cs="Arial"/>
                <w:bCs/>
                <w:color w:val="000000" w:themeColor="text1"/>
              </w:rPr>
            </w:pPr>
          </w:p>
          <w:p w14:paraId="10C9A525" w14:textId="1DDDC59A" w:rsidR="0086238C" w:rsidRDefault="007B2BA8" w:rsidP="00BC7B11">
            <w:pPr>
              <w:pStyle w:val="NoSpacing"/>
              <w:numPr>
                <w:ilvl w:val="0"/>
                <w:numId w:val="21"/>
              </w:numPr>
              <w:tabs>
                <w:tab w:val="left" w:pos="375"/>
              </w:tabs>
              <w:spacing w:line="240" w:lineRule="auto"/>
              <w:ind w:left="-120" w:firstLine="0"/>
              <w:rPr>
                <w:rFonts w:ascii="Arial" w:hAnsi="Arial" w:cs="Arial"/>
                <w:bCs/>
                <w:color w:val="000000" w:themeColor="text1"/>
              </w:rPr>
            </w:pPr>
            <w:r w:rsidRPr="007B2BA8">
              <w:rPr>
                <w:rFonts w:ascii="Arial" w:hAnsi="Arial" w:cs="Arial"/>
                <w:bCs/>
                <w:color w:val="000000" w:themeColor="text1"/>
              </w:rPr>
              <w:t xml:space="preserve">Only P198,000 or 4.95 per cent of the P4.000 million approved NTA Risk Management Fund was released as calamity assistance to 99 beneficiaries or 1.33 per cent </w:t>
            </w:r>
            <w:r w:rsidRPr="007B2BA8">
              <w:rPr>
                <w:rFonts w:ascii="Arial" w:hAnsi="Arial" w:cs="Arial"/>
                <w:bCs/>
              </w:rPr>
              <w:t>of</w:t>
            </w:r>
            <w:r w:rsidRPr="007B2BA8">
              <w:rPr>
                <w:rFonts w:ascii="Arial" w:hAnsi="Arial" w:cs="Arial"/>
                <w:bCs/>
                <w:color w:val="000000" w:themeColor="text1"/>
              </w:rPr>
              <w:t xml:space="preserve"> 7,450 tobacco farmers whose flue-curing barns and air-curing sheds were damaged by Typhoon Ompong in September 2018 in CAR, Regions I and II. </w:t>
            </w:r>
            <w:r w:rsidR="004856C0">
              <w:rPr>
                <w:rFonts w:ascii="Arial" w:hAnsi="Arial" w:cs="Arial"/>
                <w:bCs/>
                <w:color w:val="000000" w:themeColor="text1"/>
              </w:rPr>
              <w:t xml:space="preserve"> </w:t>
            </w:r>
            <w:r w:rsidRPr="007B2BA8">
              <w:rPr>
                <w:rFonts w:ascii="Arial" w:hAnsi="Arial" w:cs="Arial"/>
                <w:bCs/>
                <w:color w:val="000000" w:themeColor="text1"/>
              </w:rPr>
              <w:t>The delay and very low percentage of the releases of assistance were due to: (a) non-submission of the required supporting documents by the availees;</w:t>
            </w:r>
            <w:r w:rsidR="004856C0">
              <w:rPr>
                <w:rFonts w:ascii="Arial" w:hAnsi="Arial" w:cs="Arial"/>
                <w:bCs/>
                <w:color w:val="000000" w:themeColor="text1"/>
              </w:rPr>
              <w:t xml:space="preserve"> </w:t>
            </w:r>
            <w:r w:rsidRPr="007B2BA8">
              <w:rPr>
                <w:rFonts w:ascii="Arial" w:hAnsi="Arial" w:cs="Arial"/>
                <w:bCs/>
                <w:color w:val="000000" w:themeColor="text1"/>
              </w:rPr>
              <w:t xml:space="preserve">(b) difficulty in processing of the reports due to errors </w:t>
            </w:r>
            <w:r w:rsidRPr="007B2BA8">
              <w:rPr>
                <w:rFonts w:ascii="Arial" w:hAnsi="Arial" w:cs="Arial"/>
                <w:bCs/>
                <w:color w:val="000000" w:themeColor="text1"/>
                <w:lang w:val="en-PH"/>
              </w:rPr>
              <w:t>in information and data of the registered tobacco farmers</w:t>
            </w:r>
            <w:r w:rsidRPr="007B2BA8">
              <w:rPr>
                <w:rFonts w:ascii="Arial" w:hAnsi="Arial" w:cs="Arial"/>
                <w:bCs/>
                <w:color w:val="000000" w:themeColor="text1"/>
              </w:rPr>
              <w:t xml:space="preserve">; and (c) </w:t>
            </w:r>
            <w:r w:rsidRPr="007B2BA8">
              <w:rPr>
                <w:rFonts w:ascii="Arial" w:hAnsi="Arial" w:cs="Arial"/>
                <w:bCs/>
                <w:color w:val="000000" w:themeColor="text1"/>
                <w:lang w:val="en-PH"/>
              </w:rPr>
              <w:t xml:space="preserve">some farmers cannot be identified since the submitted documents were unnamed and contained only pictures of the damaged curing barns. </w:t>
            </w:r>
          </w:p>
          <w:p w14:paraId="22D12CC6" w14:textId="77777777" w:rsidR="007B2BA8" w:rsidRDefault="007B2BA8" w:rsidP="007B2BA8">
            <w:pPr>
              <w:pStyle w:val="NoSpacing"/>
              <w:spacing w:line="240" w:lineRule="auto"/>
              <w:rPr>
                <w:rFonts w:ascii="Arial" w:hAnsi="Arial" w:cs="Arial"/>
                <w:bCs/>
                <w:color w:val="000000" w:themeColor="text1"/>
                <w:lang w:val="en-PH"/>
              </w:rPr>
            </w:pPr>
          </w:p>
          <w:p w14:paraId="4DAF787A" w14:textId="77777777" w:rsidR="007B2BA8" w:rsidRPr="007B2BA8" w:rsidRDefault="007B2BA8" w:rsidP="007B2BA8">
            <w:pPr>
              <w:pStyle w:val="NoSpacing"/>
              <w:spacing w:line="240" w:lineRule="auto"/>
              <w:ind w:left="-120"/>
              <w:rPr>
                <w:rFonts w:ascii="Arial" w:hAnsi="Arial" w:cs="Arial"/>
                <w:bCs/>
                <w:color w:val="000000" w:themeColor="text1"/>
              </w:rPr>
            </w:pPr>
            <w:r w:rsidRPr="007B2BA8">
              <w:rPr>
                <w:rFonts w:ascii="Arial" w:hAnsi="Arial" w:cs="Arial"/>
                <w:bCs/>
                <w:color w:val="000000" w:themeColor="text1"/>
              </w:rPr>
              <w:t>We recommended that Management:</w:t>
            </w:r>
          </w:p>
          <w:p w14:paraId="5FADC446" w14:textId="77777777" w:rsidR="007B2BA8" w:rsidRPr="007B2BA8" w:rsidRDefault="007B2BA8" w:rsidP="007B2BA8">
            <w:pPr>
              <w:pStyle w:val="NoSpacing"/>
              <w:rPr>
                <w:rFonts w:ascii="Arial" w:hAnsi="Arial" w:cs="Arial"/>
                <w:bCs/>
                <w:color w:val="000000" w:themeColor="text1"/>
              </w:rPr>
            </w:pPr>
          </w:p>
          <w:p w14:paraId="284F971C" w14:textId="48318871" w:rsidR="007B2BA8" w:rsidRDefault="007B2BA8" w:rsidP="004856C0">
            <w:pPr>
              <w:pStyle w:val="NoSpacing"/>
              <w:numPr>
                <w:ilvl w:val="0"/>
                <w:numId w:val="39"/>
              </w:numPr>
              <w:tabs>
                <w:tab w:val="left" w:pos="380"/>
              </w:tabs>
              <w:spacing w:line="240" w:lineRule="auto"/>
              <w:ind w:left="-120" w:firstLine="0"/>
              <w:rPr>
                <w:rFonts w:ascii="Arial" w:hAnsi="Arial" w:cs="Arial"/>
                <w:bCs/>
                <w:color w:val="000000" w:themeColor="text1"/>
              </w:rPr>
            </w:pPr>
            <w:r w:rsidRPr="007B2BA8">
              <w:rPr>
                <w:rFonts w:ascii="Arial" w:hAnsi="Arial" w:cs="Arial"/>
                <w:bCs/>
                <w:color w:val="000000" w:themeColor="text1"/>
              </w:rPr>
              <w:t xml:space="preserve">Require the </w:t>
            </w:r>
            <w:r w:rsidR="003C6DDB">
              <w:rPr>
                <w:rFonts w:ascii="Arial" w:hAnsi="Arial" w:cs="Arial"/>
                <w:bCs/>
                <w:color w:val="000000" w:themeColor="text1"/>
              </w:rPr>
              <w:t>Tobacco Production and Regulation Officer</w:t>
            </w:r>
            <w:r w:rsidR="005B547C">
              <w:rPr>
                <w:rFonts w:ascii="Arial" w:hAnsi="Arial" w:cs="Arial"/>
                <w:bCs/>
                <w:color w:val="000000" w:themeColor="text1"/>
              </w:rPr>
              <w:t xml:space="preserve"> (</w:t>
            </w:r>
            <w:r w:rsidRPr="007B2BA8">
              <w:rPr>
                <w:rFonts w:ascii="Arial" w:hAnsi="Arial" w:cs="Arial"/>
                <w:bCs/>
                <w:color w:val="000000" w:themeColor="text1"/>
              </w:rPr>
              <w:t>TPRO</w:t>
            </w:r>
            <w:r w:rsidR="005B547C">
              <w:rPr>
                <w:rFonts w:ascii="Arial" w:hAnsi="Arial" w:cs="Arial"/>
                <w:bCs/>
                <w:color w:val="000000" w:themeColor="text1"/>
              </w:rPr>
              <w:t>)</w:t>
            </w:r>
            <w:r w:rsidRPr="007B2BA8">
              <w:rPr>
                <w:rFonts w:ascii="Arial" w:hAnsi="Arial" w:cs="Arial"/>
                <w:bCs/>
                <w:color w:val="000000" w:themeColor="text1"/>
              </w:rPr>
              <w:t xml:space="preserve"> to assist the farmers in preparing the necessary documents to facilitate the evaluation of their qualification for the release and maximum utilization of calamity assistance fund; and</w:t>
            </w:r>
          </w:p>
          <w:p w14:paraId="1064D34F" w14:textId="77777777" w:rsidR="00C14232" w:rsidRDefault="00C14232" w:rsidP="00C14232">
            <w:pPr>
              <w:pStyle w:val="NoSpacing"/>
              <w:spacing w:line="240" w:lineRule="auto"/>
              <w:ind w:left="-120"/>
              <w:rPr>
                <w:rFonts w:ascii="Arial" w:hAnsi="Arial" w:cs="Arial"/>
                <w:bCs/>
                <w:color w:val="000000" w:themeColor="text1"/>
              </w:rPr>
            </w:pPr>
          </w:p>
          <w:p w14:paraId="53815BFC" w14:textId="77777777" w:rsidR="00657BE8" w:rsidRDefault="00657BE8" w:rsidP="00657BE8">
            <w:pPr>
              <w:pStyle w:val="NoSpacing"/>
              <w:spacing w:line="240" w:lineRule="auto"/>
              <w:ind w:left="-120"/>
              <w:rPr>
                <w:rFonts w:ascii="Arial" w:hAnsi="Arial" w:cs="Arial"/>
                <w:bCs/>
                <w:color w:val="000000" w:themeColor="text1"/>
              </w:rPr>
            </w:pPr>
          </w:p>
          <w:p w14:paraId="24B2B155" w14:textId="77777777" w:rsidR="00DE5072" w:rsidRDefault="00DE5072" w:rsidP="00657BE8">
            <w:pPr>
              <w:pStyle w:val="NoSpacing"/>
              <w:spacing w:line="240" w:lineRule="auto"/>
              <w:ind w:left="-120"/>
              <w:rPr>
                <w:rFonts w:ascii="Arial" w:hAnsi="Arial" w:cs="Arial"/>
                <w:bCs/>
                <w:color w:val="000000" w:themeColor="text1"/>
              </w:rPr>
            </w:pPr>
          </w:p>
          <w:p w14:paraId="7649DB19" w14:textId="77777777" w:rsidR="005702E8" w:rsidRDefault="005702E8" w:rsidP="00657BE8">
            <w:pPr>
              <w:pStyle w:val="NoSpacing"/>
              <w:spacing w:line="240" w:lineRule="auto"/>
              <w:ind w:left="-120"/>
              <w:rPr>
                <w:rFonts w:ascii="Arial" w:hAnsi="Arial" w:cs="Arial"/>
                <w:bCs/>
                <w:color w:val="000000" w:themeColor="text1"/>
              </w:rPr>
            </w:pPr>
          </w:p>
          <w:p w14:paraId="379D9EFE" w14:textId="77777777" w:rsidR="0086238C" w:rsidRDefault="007B2BA8" w:rsidP="00BC7B11">
            <w:pPr>
              <w:pStyle w:val="NoSpacing"/>
              <w:numPr>
                <w:ilvl w:val="0"/>
                <w:numId w:val="39"/>
              </w:numPr>
              <w:tabs>
                <w:tab w:val="left" w:pos="380"/>
              </w:tabs>
              <w:spacing w:line="240" w:lineRule="auto"/>
              <w:ind w:left="-120" w:firstLine="0"/>
              <w:rPr>
                <w:rFonts w:ascii="Arial" w:hAnsi="Arial" w:cs="Arial"/>
                <w:bCs/>
                <w:color w:val="000000" w:themeColor="text1"/>
              </w:rPr>
            </w:pPr>
            <w:r w:rsidRPr="007B2BA8">
              <w:rPr>
                <w:rFonts w:ascii="Arial" w:hAnsi="Arial" w:cs="Arial"/>
                <w:bCs/>
                <w:color w:val="000000" w:themeColor="text1"/>
              </w:rPr>
              <w:t>Fast track the processing of the claims and set specific timelines in releasing the calamity assistance to the affected tobacco farmers for them to recover immediately.</w:t>
            </w:r>
          </w:p>
          <w:p w14:paraId="34E946BF" w14:textId="77777777" w:rsidR="007B2BA8" w:rsidRPr="00755D64" w:rsidRDefault="007B2BA8" w:rsidP="00755D64">
            <w:pPr>
              <w:pStyle w:val="NoSpacing"/>
              <w:ind w:left="-120" w:right="1167"/>
              <w:rPr>
                <w:rFonts w:ascii="Arial" w:hAnsi="Arial" w:cs="Arial"/>
                <w:bCs/>
              </w:rPr>
            </w:pPr>
          </w:p>
        </w:tc>
        <w:tc>
          <w:tcPr>
            <w:tcW w:w="3801" w:type="dxa"/>
          </w:tcPr>
          <w:p w14:paraId="744BEA5F" w14:textId="77777777" w:rsidR="007B2BA8" w:rsidRDefault="007B2BA8" w:rsidP="009A4FEC">
            <w:pPr>
              <w:pStyle w:val="NoSpacing"/>
              <w:spacing w:line="240" w:lineRule="auto"/>
              <w:ind w:left="25" w:right="-108"/>
              <w:rPr>
                <w:rFonts w:ascii="Arial" w:hAnsi="Arial" w:cs="Arial"/>
              </w:rPr>
            </w:pPr>
          </w:p>
          <w:p w14:paraId="1F6B2850" w14:textId="77777777" w:rsidR="00B4770D" w:rsidRDefault="00B4770D" w:rsidP="009A4FEC">
            <w:pPr>
              <w:pStyle w:val="NoSpacing"/>
              <w:spacing w:line="240" w:lineRule="auto"/>
              <w:ind w:left="25" w:right="-108"/>
              <w:rPr>
                <w:rFonts w:ascii="Arial" w:hAnsi="Arial" w:cs="Arial"/>
              </w:rPr>
            </w:pPr>
          </w:p>
          <w:p w14:paraId="6CF64AD1" w14:textId="77777777" w:rsidR="00B4770D" w:rsidRDefault="00B4770D" w:rsidP="009A4FEC">
            <w:pPr>
              <w:pStyle w:val="NoSpacing"/>
              <w:spacing w:line="240" w:lineRule="auto"/>
              <w:ind w:left="25" w:right="-108"/>
              <w:rPr>
                <w:rFonts w:ascii="Arial" w:hAnsi="Arial" w:cs="Arial"/>
              </w:rPr>
            </w:pPr>
          </w:p>
          <w:p w14:paraId="3FA13840" w14:textId="77777777" w:rsidR="00B4770D" w:rsidRDefault="00B4770D" w:rsidP="009A4FEC">
            <w:pPr>
              <w:pStyle w:val="NoSpacing"/>
              <w:spacing w:line="240" w:lineRule="auto"/>
              <w:ind w:left="25" w:right="-108"/>
              <w:rPr>
                <w:rFonts w:ascii="Arial" w:hAnsi="Arial" w:cs="Arial"/>
              </w:rPr>
            </w:pPr>
          </w:p>
          <w:p w14:paraId="26F7C0B3" w14:textId="77777777" w:rsidR="00B4770D" w:rsidRDefault="00B4770D" w:rsidP="009A4FEC">
            <w:pPr>
              <w:pStyle w:val="NoSpacing"/>
              <w:spacing w:line="240" w:lineRule="auto"/>
              <w:ind w:left="25" w:right="-108"/>
              <w:rPr>
                <w:rFonts w:ascii="Arial" w:hAnsi="Arial" w:cs="Arial"/>
              </w:rPr>
            </w:pPr>
          </w:p>
          <w:p w14:paraId="09A85784" w14:textId="77777777" w:rsidR="00B4770D" w:rsidRDefault="00B4770D" w:rsidP="009A4FEC">
            <w:pPr>
              <w:pStyle w:val="NoSpacing"/>
              <w:spacing w:line="240" w:lineRule="auto"/>
              <w:ind w:left="25" w:right="-108"/>
              <w:rPr>
                <w:rFonts w:ascii="Arial" w:hAnsi="Arial" w:cs="Arial"/>
              </w:rPr>
            </w:pPr>
          </w:p>
          <w:p w14:paraId="1A32172E" w14:textId="77777777" w:rsidR="00B4770D" w:rsidRDefault="00B4770D" w:rsidP="009A4FEC">
            <w:pPr>
              <w:pStyle w:val="NoSpacing"/>
              <w:spacing w:line="240" w:lineRule="auto"/>
              <w:ind w:left="25" w:right="-108"/>
              <w:rPr>
                <w:rFonts w:ascii="Arial" w:hAnsi="Arial" w:cs="Arial"/>
              </w:rPr>
            </w:pPr>
          </w:p>
          <w:p w14:paraId="0EB00A58" w14:textId="77777777" w:rsidR="00B4770D" w:rsidRDefault="00B4770D" w:rsidP="009A4FEC">
            <w:pPr>
              <w:pStyle w:val="NoSpacing"/>
              <w:spacing w:line="240" w:lineRule="auto"/>
              <w:ind w:left="25" w:right="-108"/>
              <w:rPr>
                <w:rFonts w:ascii="Arial" w:hAnsi="Arial" w:cs="Arial"/>
              </w:rPr>
            </w:pPr>
          </w:p>
          <w:p w14:paraId="12898227" w14:textId="77777777" w:rsidR="00B4770D" w:rsidRDefault="00B4770D" w:rsidP="009A4FEC">
            <w:pPr>
              <w:pStyle w:val="NoSpacing"/>
              <w:spacing w:line="240" w:lineRule="auto"/>
              <w:ind w:left="25" w:right="-108"/>
              <w:rPr>
                <w:rFonts w:ascii="Arial" w:hAnsi="Arial" w:cs="Arial"/>
              </w:rPr>
            </w:pPr>
          </w:p>
          <w:p w14:paraId="4052BDC7" w14:textId="77777777" w:rsidR="00B4770D" w:rsidRDefault="00B4770D" w:rsidP="009A4FEC">
            <w:pPr>
              <w:pStyle w:val="NoSpacing"/>
              <w:spacing w:line="240" w:lineRule="auto"/>
              <w:ind w:left="25" w:right="-108"/>
              <w:rPr>
                <w:rFonts w:ascii="Arial" w:hAnsi="Arial" w:cs="Arial"/>
              </w:rPr>
            </w:pPr>
          </w:p>
          <w:p w14:paraId="41474A31" w14:textId="77777777" w:rsidR="00B4770D" w:rsidRDefault="00B4770D" w:rsidP="009A4FEC">
            <w:pPr>
              <w:pStyle w:val="NoSpacing"/>
              <w:spacing w:line="240" w:lineRule="auto"/>
              <w:ind w:left="25" w:right="-108"/>
              <w:rPr>
                <w:rFonts w:ascii="Arial" w:hAnsi="Arial" w:cs="Arial"/>
              </w:rPr>
            </w:pPr>
          </w:p>
          <w:p w14:paraId="66F61DE7" w14:textId="77777777" w:rsidR="00B4770D" w:rsidRDefault="00B4770D" w:rsidP="009A4FEC">
            <w:pPr>
              <w:pStyle w:val="NoSpacing"/>
              <w:spacing w:line="240" w:lineRule="auto"/>
              <w:ind w:left="25" w:right="-108"/>
              <w:rPr>
                <w:rFonts w:ascii="Arial" w:hAnsi="Arial" w:cs="Arial"/>
              </w:rPr>
            </w:pPr>
          </w:p>
          <w:p w14:paraId="0AE61A89" w14:textId="77777777" w:rsidR="00B4770D" w:rsidRDefault="00B4770D" w:rsidP="009A4FEC">
            <w:pPr>
              <w:pStyle w:val="NoSpacing"/>
              <w:spacing w:line="240" w:lineRule="auto"/>
              <w:ind w:left="25" w:right="-108"/>
              <w:rPr>
                <w:rFonts w:ascii="Arial" w:hAnsi="Arial" w:cs="Arial"/>
              </w:rPr>
            </w:pPr>
          </w:p>
          <w:p w14:paraId="3894B7A9" w14:textId="77777777" w:rsidR="00B4770D" w:rsidRDefault="00B4770D" w:rsidP="009A4FEC">
            <w:pPr>
              <w:pStyle w:val="NoSpacing"/>
              <w:spacing w:line="240" w:lineRule="auto"/>
              <w:ind w:left="25" w:right="-108"/>
              <w:rPr>
                <w:rFonts w:ascii="Arial" w:hAnsi="Arial" w:cs="Arial"/>
              </w:rPr>
            </w:pPr>
          </w:p>
          <w:p w14:paraId="3C56A995" w14:textId="77777777" w:rsidR="00B4770D" w:rsidRDefault="00B4770D" w:rsidP="009A4FEC">
            <w:pPr>
              <w:pStyle w:val="NoSpacing"/>
              <w:spacing w:line="240" w:lineRule="auto"/>
              <w:ind w:left="25" w:right="-108"/>
              <w:rPr>
                <w:rFonts w:ascii="Arial" w:hAnsi="Arial" w:cs="Arial"/>
              </w:rPr>
            </w:pPr>
          </w:p>
          <w:p w14:paraId="63B49524" w14:textId="77777777" w:rsidR="00B4770D" w:rsidRDefault="00B4770D" w:rsidP="009A4FEC">
            <w:pPr>
              <w:pStyle w:val="NoSpacing"/>
              <w:spacing w:line="240" w:lineRule="auto"/>
              <w:ind w:left="25" w:right="-108"/>
              <w:rPr>
                <w:rFonts w:ascii="Arial" w:hAnsi="Arial" w:cs="Arial"/>
              </w:rPr>
            </w:pPr>
          </w:p>
          <w:p w14:paraId="21CA6204" w14:textId="77777777" w:rsidR="00B4770D" w:rsidRDefault="00B4770D" w:rsidP="009A4FEC">
            <w:pPr>
              <w:pStyle w:val="NoSpacing"/>
              <w:spacing w:line="240" w:lineRule="auto"/>
              <w:ind w:left="25" w:right="-108"/>
              <w:rPr>
                <w:rFonts w:ascii="Arial" w:hAnsi="Arial" w:cs="Arial"/>
              </w:rPr>
            </w:pPr>
          </w:p>
          <w:p w14:paraId="6C1F086B" w14:textId="77777777" w:rsidR="00B4770D" w:rsidRDefault="00B4770D" w:rsidP="009A4FEC">
            <w:pPr>
              <w:pStyle w:val="NoSpacing"/>
              <w:spacing w:line="240" w:lineRule="auto"/>
              <w:ind w:left="25" w:right="-108"/>
              <w:rPr>
                <w:rFonts w:ascii="Arial" w:hAnsi="Arial" w:cs="Arial"/>
              </w:rPr>
            </w:pPr>
          </w:p>
          <w:p w14:paraId="7D92F052" w14:textId="77777777" w:rsidR="00B4770D" w:rsidRDefault="00B4770D" w:rsidP="009A4FEC">
            <w:pPr>
              <w:pStyle w:val="NoSpacing"/>
              <w:spacing w:line="240" w:lineRule="auto"/>
              <w:ind w:left="25" w:right="-108"/>
              <w:rPr>
                <w:rFonts w:ascii="Arial" w:hAnsi="Arial" w:cs="Arial"/>
              </w:rPr>
            </w:pPr>
          </w:p>
          <w:p w14:paraId="091A78F2" w14:textId="77777777" w:rsidR="00B4770D" w:rsidRDefault="00B4770D" w:rsidP="009A4FEC">
            <w:pPr>
              <w:pStyle w:val="NoSpacing"/>
              <w:spacing w:line="240" w:lineRule="auto"/>
              <w:ind w:left="25" w:right="-108"/>
              <w:rPr>
                <w:rFonts w:ascii="Arial" w:hAnsi="Arial" w:cs="Arial"/>
              </w:rPr>
            </w:pPr>
          </w:p>
          <w:p w14:paraId="7A59F0B4" w14:textId="77777777" w:rsidR="00B4770D" w:rsidRDefault="00B4770D" w:rsidP="00ED7CAF">
            <w:pPr>
              <w:pStyle w:val="NoSpacing"/>
              <w:spacing w:line="240" w:lineRule="auto"/>
              <w:ind w:right="-108"/>
              <w:rPr>
                <w:rFonts w:ascii="Arial" w:hAnsi="Arial" w:cs="Arial"/>
              </w:rPr>
            </w:pPr>
          </w:p>
          <w:p w14:paraId="6774149C" w14:textId="77777777" w:rsidR="005702E8" w:rsidRPr="00000A5C" w:rsidRDefault="002149BD" w:rsidP="005702E8">
            <w:pPr>
              <w:pStyle w:val="NoSpacing"/>
              <w:spacing w:line="240" w:lineRule="auto"/>
              <w:ind w:right="-108"/>
              <w:rPr>
                <w:rFonts w:ascii="Arial" w:hAnsi="Arial" w:cs="Arial"/>
              </w:rPr>
            </w:pPr>
            <w:r>
              <w:rPr>
                <w:rFonts w:ascii="Arial" w:hAnsi="Arial" w:cs="Arial"/>
              </w:rPr>
              <w:t>Partially Implemented</w:t>
            </w:r>
            <w:r w:rsidR="00B22D95">
              <w:rPr>
                <w:rFonts w:ascii="Arial" w:hAnsi="Arial" w:cs="Arial"/>
              </w:rPr>
              <w:t>.</w:t>
            </w:r>
            <w:r>
              <w:rPr>
                <w:rFonts w:ascii="Arial" w:hAnsi="Arial" w:cs="Arial"/>
              </w:rPr>
              <w:t xml:space="preserve"> </w:t>
            </w:r>
          </w:p>
          <w:p w14:paraId="6B47A22D" w14:textId="77777777" w:rsidR="005702E8" w:rsidRDefault="005702E8" w:rsidP="009A4FEC">
            <w:pPr>
              <w:pStyle w:val="NoSpacing"/>
              <w:ind w:left="25" w:right="-43"/>
              <w:rPr>
                <w:rFonts w:ascii="Arial" w:hAnsi="Arial" w:cs="Arial"/>
              </w:rPr>
            </w:pPr>
          </w:p>
          <w:p w14:paraId="36257BB4" w14:textId="48D27B41" w:rsidR="00C14232" w:rsidRPr="00C14232" w:rsidRDefault="00C14232" w:rsidP="009A4FEC">
            <w:pPr>
              <w:pStyle w:val="NoSpacing"/>
              <w:ind w:left="25" w:right="-43"/>
              <w:rPr>
                <w:rFonts w:ascii="Arial" w:hAnsi="Arial" w:cs="Arial"/>
              </w:rPr>
            </w:pPr>
            <w:r w:rsidRPr="00C14232">
              <w:rPr>
                <w:rFonts w:ascii="Arial" w:hAnsi="Arial" w:cs="Arial"/>
              </w:rPr>
              <w:t xml:space="preserve">The TPROs prepare the necessary documents. The fund transfers to branches were delayed because the </w:t>
            </w:r>
            <w:r w:rsidR="00AF6FAD">
              <w:rPr>
                <w:rFonts w:ascii="Arial" w:hAnsi="Arial" w:cs="Arial"/>
              </w:rPr>
              <w:t>HO</w:t>
            </w:r>
            <w:r w:rsidRPr="00C14232">
              <w:rPr>
                <w:rFonts w:ascii="Arial" w:hAnsi="Arial" w:cs="Arial"/>
              </w:rPr>
              <w:t xml:space="preserve"> Accounting Division waited for the submission of the complete documents prior to fund transfer.</w:t>
            </w:r>
          </w:p>
          <w:p w14:paraId="57077CD5" w14:textId="77777777" w:rsidR="00B4770D" w:rsidRDefault="00B4770D" w:rsidP="009A4FEC">
            <w:pPr>
              <w:pStyle w:val="NoSpacing"/>
              <w:spacing w:line="240" w:lineRule="auto"/>
              <w:ind w:left="25" w:right="-108"/>
              <w:rPr>
                <w:rFonts w:ascii="Arial" w:hAnsi="Arial" w:cs="Arial"/>
              </w:rPr>
            </w:pPr>
          </w:p>
          <w:p w14:paraId="554CEC6A" w14:textId="77777777" w:rsidR="00DE5072" w:rsidRDefault="00DE5072" w:rsidP="009A4FEC">
            <w:pPr>
              <w:pStyle w:val="NoSpacing"/>
              <w:spacing w:line="240" w:lineRule="auto"/>
              <w:ind w:left="25" w:right="-108"/>
              <w:rPr>
                <w:rFonts w:ascii="Arial" w:hAnsi="Arial" w:cs="Arial"/>
              </w:rPr>
            </w:pPr>
            <w:r>
              <w:rPr>
                <w:rFonts w:ascii="Arial" w:hAnsi="Arial" w:cs="Arial"/>
              </w:rPr>
              <w:t>Partially Implemented</w:t>
            </w:r>
            <w:r w:rsidR="00B22D95">
              <w:rPr>
                <w:rFonts w:ascii="Arial" w:hAnsi="Arial" w:cs="Arial"/>
              </w:rPr>
              <w:t>.</w:t>
            </w:r>
          </w:p>
          <w:p w14:paraId="03169413" w14:textId="77777777" w:rsidR="00DE5072" w:rsidRDefault="00DE5072" w:rsidP="009A4FEC">
            <w:pPr>
              <w:pStyle w:val="NoSpacing"/>
              <w:spacing w:line="240" w:lineRule="auto"/>
              <w:ind w:left="25" w:right="-108"/>
              <w:rPr>
                <w:rFonts w:ascii="Arial" w:hAnsi="Arial" w:cs="Arial"/>
              </w:rPr>
            </w:pPr>
          </w:p>
          <w:p w14:paraId="2687E6B9" w14:textId="546CBD3A" w:rsidR="00394830" w:rsidRPr="00C14232" w:rsidRDefault="00C14232" w:rsidP="00C24152">
            <w:pPr>
              <w:pStyle w:val="NoSpacing"/>
              <w:ind w:right="-43"/>
              <w:rPr>
                <w:rFonts w:ascii="Arial" w:hAnsi="Arial" w:cs="Arial"/>
              </w:rPr>
            </w:pPr>
            <w:r w:rsidRPr="00C14232">
              <w:rPr>
                <w:rFonts w:ascii="Arial" w:hAnsi="Arial" w:cs="Arial"/>
              </w:rPr>
              <w:t xml:space="preserve">The BOs have been instructed accordingly. What delayed the release of fund transfers were the requirements of Certification from the </w:t>
            </w:r>
            <w:r w:rsidR="003C6DDB">
              <w:rPr>
                <w:rFonts w:ascii="Arial" w:hAnsi="Arial" w:cs="Arial"/>
              </w:rPr>
              <w:t>Provincial Disaster Risk Reduction Management Council</w:t>
            </w:r>
            <w:r w:rsidR="00C0019E">
              <w:rPr>
                <w:rFonts w:ascii="Arial" w:hAnsi="Arial" w:cs="Arial"/>
              </w:rPr>
              <w:t xml:space="preserve"> (</w:t>
            </w:r>
            <w:r w:rsidRPr="00C14232">
              <w:rPr>
                <w:rFonts w:ascii="Arial" w:hAnsi="Arial" w:cs="Arial"/>
              </w:rPr>
              <w:t>PDRRMC</w:t>
            </w:r>
            <w:r w:rsidR="00C0019E">
              <w:rPr>
                <w:rFonts w:ascii="Arial" w:hAnsi="Arial" w:cs="Arial"/>
              </w:rPr>
              <w:t>)</w:t>
            </w:r>
            <w:r w:rsidRPr="00C14232">
              <w:rPr>
                <w:rFonts w:ascii="Arial" w:hAnsi="Arial" w:cs="Arial"/>
              </w:rPr>
              <w:t xml:space="preserve"> and Barangay Captains.</w:t>
            </w:r>
          </w:p>
          <w:p w14:paraId="427ECB4D" w14:textId="77777777" w:rsidR="00C14232" w:rsidRPr="00000A5C" w:rsidRDefault="00C14232" w:rsidP="00C24152">
            <w:pPr>
              <w:pStyle w:val="NoSpacing"/>
              <w:ind w:left="25" w:right="-43"/>
              <w:rPr>
                <w:rFonts w:ascii="Arial" w:hAnsi="Arial" w:cs="Arial"/>
              </w:rPr>
            </w:pPr>
          </w:p>
        </w:tc>
      </w:tr>
      <w:tr w:rsidR="00394830" w:rsidRPr="0035547E" w14:paraId="4CAB7104" w14:textId="77777777" w:rsidTr="00C24152">
        <w:trPr>
          <w:trHeight w:val="480"/>
        </w:trPr>
        <w:tc>
          <w:tcPr>
            <w:tcW w:w="5199" w:type="dxa"/>
          </w:tcPr>
          <w:p w14:paraId="6D0ED2E2" w14:textId="77777777" w:rsidR="00394830" w:rsidRPr="00BC7B11" w:rsidRDefault="00394830" w:rsidP="00394830">
            <w:pPr>
              <w:pStyle w:val="NoSpacing"/>
              <w:numPr>
                <w:ilvl w:val="0"/>
                <w:numId w:val="21"/>
              </w:numPr>
              <w:tabs>
                <w:tab w:val="left" w:pos="350"/>
              </w:tabs>
              <w:spacing w:line="240" w:lineRule="auto"/>
              <w:ind w:left="-120" w:firstLine="0"/>
              <w:rPr>
                <w:rFonts w:ascii="Arial" w:hAnsi="Arial" w:cs="Arial"/>
                <w:bCs/>
                <w:color w:val="FF0000"/>
              </w:rPr>
            </w:pPr>
            <w:r w:rsidRPr="00DE5072">
              <w:rPr>
                <w:rFonts w:ascii="Arial" w:hAnsi="Arial" w:cs="Arial"/>
                <w:bCs/>
              </w:rPr>
              <w:t>The audit disallowances and charges totaling P26.963 million which</w:t>
            </w:r>
            <w:r>
              <w:rPr>
                <w:rFonts w:ascii="Arial" w:hAnsi="Arial" w:cs="Arial"/>
                <w:bCs/>
              </w:rPr>
              <w:t xml:space="preserve"> </w:t>
            </w:r>
            <w:r w:rsidRPr="00DE5072">
              <w:rPr>
                <w:rFonts w:ascii="Arial" w:hAnsi="Arial" w:cs="Arial"/>
                <w:bCs/>
              </w:rPr>
              <w:t xml:space="preserve">became final and executory remained uncollected and unsettled contrary to the provisions of </w:t>
            </w:r>
            <w:r w:rsidRPr="00DE5072">
              <w:rPr>
                <w:rFonts w:ascii="Arial" w:hAnsi="Arial" w:cs="Arial"/>
                <w:bCs/>
                <w:color w:val="000000" w:themeColor="text1"/>
              </w:rPr>
              <w:t xml:space="preserve">COA Circular No. 2009-006 dated September 15, 2009 prescribing the use of the </w:t>
            </w:r>
            <w:r>
              <w:rPr>
                <w:rFonts w:ascii="Arial" w:hAnsi="Arial" w:cs="Arial"/>
                <w:bCs/>
                <w:color w:val="000000" w:themeColor="text1"/>
              </w:rPr>
              <w:t>Rules and Regulations on the Settlement of Accounts (</w:t>
            </w:r>
            <w:r w:rsidRPr="00DE5072">
              <w:rPr>
                <w:rFonts w:ascii="Arial" w:hAnsi="Arial" w:cs="Arial"/>
                <w:bCs/>
                <w:color w:val="000000" w:themeColor="text1"/>
              </w:rPr>
              <w:t>RRSA</w:t>
            </w:r>
            <w:r>
              <w:rPr>
                <w:rFonts w:ascii="Arial" w:hAnsi="Arial" w:cs="Arial"/>
                <w:bCs/>
                <w:color w:val="000000" w:themeColor="text1"/>
              </w:rPr>
              <w:t>)</w:t>
            </w:r>
            <w:r w:rsidRPr="00DE5072">
              <w:rPr>
                <w:rFonts w:ascii="Arial" w:hAnsi="Arial" w:cs="Arial"/>
                <w:bCs/>
                <w:color w:val="000000" w:themeColor="text1"/>
              </w:rPr>
              <w:t>.</w:t>
            </w:r>
          </w:p>
          <w:p w14:paraId="6CBD0768" w14:textId="77777777" w:rsidR="00394830" w:rsidRDefault="00394830" w:rsidP="00394830">
            <w:pPr>
              <w:pStyle w:val="NoSpacing"/>
              <w:tabs>
                <w:tab w:val="left" w:pos="350"/>
              </w:tabs>
              <w:spacing w:line="240" w:lineRule="auto"/>
              <w:ind w:left="-120"/>
              <w:rPr>
                <w:rFonts w:ascii="Arial" w:hAnsi="Arial" w:cs="Arial"/>
                <w:bCs/>
                <w:color w:val="FF0000"/>
              </w:rPr>
            </w:pPr>
          </w:p>
          <w:p w14:paraId="2AD222C9" w14:textId="77777777" w:rsidR="00394830" w:rsidRDefault="00394830" w:rsidP="00394830">
            <w:pPr>
              <w:pStyle w:val="NoSpacing"/>
              <w:spacing w:line="240" w:lineRule="auto"/>
              <w:ind w:left="-120"/>
              <w:rPr>
                <w:rFonts w:ascii="Arial" w:hAnsi="Arial" w:cs="Arial"/>
                <w:bCs/>
                <w:i/>
              </w:rPr>
            </w:pPr>
            <w:r w:rsidRPr="00DE5072">
              <w:rPr>
                <w:rFonts w:ascii="Arial" w:hAnsi="Arial" w:cs="Arial"/>
                <w:bCs/>
              </w:rPr>
              <w:t>We recommended that the responsible NTA officials exhaust all possible remedies to settle both the dormant and current audit disallowances of P37.919 million in compliance with the provisions of COA Circular No. 2009-006.</w:t>
            </w:r>
          </w:p>
          <w:p w14:paraId="7CD239FE" w14:textId="77777777" w:rsidR="00394830" w:rsidRPr="007B2BA8" w:rsidRDefault="00394830" w:rsidP="007B2BA8">
            <w:pPr>
              <w:pStyle w:val="NoSpacing"/>
              <w:ind w:left="-120" w:right="1167"/>
              <w:rPr>
                <w:rFonts w:ascii="Arial" w:hAnsi="Arial" w:cs="Arial"/>
                <w:bCs/>
                <w:color w:val="000000" w:themeColor="text1"/>
              </w:rPr>
            </w:pPr>
          </w:p>
        </w:tc>
        <w:tc>
          <w:tcPr>
            <w:tcW w:w="3801" w:type="dxa"/>
          </w:tcPr>
          <w:p w14:paraId="6B41CE84" w14:textId="77777777" w:rsidR="00394830" w:rsidRDefault="00394830" w:rsidP="00394830">
            <w:pPr>
              <w:pStyle w:val="NoSpacing"/>
              <w:spacing w:line="240" w:lineRule="auto"/>
              <w:ind w:left="25" w:right="-108"/>
              <w:rPr>
                <w:rFonts w:ascii="Arial" w:hAnsi="Arial" w:cs="Arial"/>
              </w:rPr>
            </w:pPr>
          </w:p>
          <w:p w14:paraId="248A23F6" w14:textId="77777777" w:rsidR="00394830" w:rsidRDefault="00394830" w:rsidP="00394830">
            <w:pPr>
              <w:pStyle w:val="NoSpacing"/>
              <w:spacing w:line="240" w:lineRule="auto"/>
              <w:ind w:left="25" w:right="-108"/>
              <w:rPr>
                <w:rFonts w:ascii="Arial" w:hAnsi="Arial" w:cs="Arial"/>
              </w:rPr>
            </w:pPr>
          </w:p>
          <w:p w14:paraId="50ECFF20" w14:textId="77777777" w:rsidR="00394830" w:rsidRDefault="00394830" w:rsidP="00394830">
            <w:pPr>
              <w:pStyle w:val="NoSpacing"/>
              <w:spacing w:line="240" w:lineRule="auto"/>
              <w:ind w:left="25" w:right="-108"/>
              <w:rPr>
                <w:rFonts w:ascii="Arial" w:hAnsi="Arial" w:cs="Arial"/>
              </w:rPr>
            </w:pPr>
          </w:p>
          <w:p w14:paraId="643C1B3F" w14:textId="77777777" w:rsidR="00394830" w:rsidRDefault="00394830" w:rsidP="00394830">
            <w:pPr>
              <w:pStyle w:val="NoSpacing"/>
              <w:spacing w:line="240" w:lineRule="auto"/>
              <w:ind w:left="25" w:right="-108"/>
              <w:rPr>
                <w:rFonts w:ascii="Arial" w:hAnsi="Arial" w:cs="Arial"/>
              </w:rPr>
            </w:pPr>
          </w:p>
          <w:p w14:paraId="25B9C32F" w14:textId="77777777" w:rsidR="00394830" w:rsidRDefault="00394830" w:rsidP="00394830">
            <w:pPr>
              <w:pStyle w:val="NoSpacing"/>
              <w:spacing w:line="240" w:lineRule="auto"/>
              <w:ind w:left="25" w:right="-108"/>
              <w:rPr>
                <w:rFonts w:ascii="Arial" w:hAnsi="Arial" w:cs="Arial"/>
              </w:rPr>
            </w:pPr>
          </w:p>
          <w:p w14:paraId="08BDB93C" w14:textId="77777777" w:rsidR="00394830" w:rsidRDefault="00394830" w:rsidP="00394830">
            <w:pPr>
              <w:pStyle w:val="NoSpacing"/>
              <w:spacing w:line="240" w:lineRule="auto"/>
              <w:ind w:left="25" w:right="-108"/>
              <w:rPr>
                <w:rFonts w:ascii="Arial" w:hAnsi="Arial" w:cs="Arial"/>
              </w:rPr>
            </w:pPr>
          </w:p>
          <w:p w14:paraId="55AB89E9" w14:textId="77777777" w:rsidR="00394830" w:rsidRDefault="00394830" w:rsidP="00394830">
            <w:pPr>
              <w:pStyle w:val="NoSpacing"/>
              <w:spacing w:line="240" w:lineRule="auto"/>
              <w:ind w:left="25" w:right="-108"/>
              <w:rPr>
                <w:rFonts w:ascii="Arial" w:hAnsi="Arial" w:cs="Arial"/>
              </w:rPr>
            </w:pPr>
          </w:p>
          <w:p w14:paraId="6D38CB0F" w14:textId="77777777" w:rsidR="00394830" w:rsidRDefault="00394830" w:rsidP="00394830">
            <w:pPr>
              <w:pStyle w:val="NoSpacing"/>
              <w:spacing w:line="240" w:lineRule="auto"/>
              <w:ind w:left="25" w:right="-108"/>
              <w:rPr>
                <w:rFonts w:ascii="Arial" w:hAnsi="Arial" w:cs="Arial"/>
              </w:rPr>
            </w:pPr>
          </w:p>
          <w:p w14:paraId="0762E71F" w14:textId="772F50B9" w:rsidR="00394830" w:rsidRDefault="00394830" w:rsidP="00394830">
            <w:pPr>
              <w:pStyle w:val="NoSpacing"/>
              <w:spacing w:line="240" w:lineRule="auto"/>
              <w:ind w:left="25" w:right="-108"/>
              <w:rPr>
                <w:rFonts w:ascii="Arial" w:hAnsi="Arial" w:cs="Arial"/>
              </w:rPr>
            </w:pPr>
            <w:r>
              <w:rPr>
                <w:rFonts w:ascii="Arial" w:hAnsi="Arial" w:cs="Arial"/>
              </w:rPr>
              <w:t>Partially Implemented.</w:t>
            </w:r>
          </w:p>
          <w:p w14:paraId="78493473" w14:textId="77777777" w:rsidR="00394830" w:rsidRDefault="00394830" w:rsidP="00394830">
            <w:pPr>
              <w:pStyle w:val="NoSpacing"/>
              <w:ind w:left="25" w:right="-43"/>
              <w:rPr>
                <w:rFonts w:ascii="Arial" w:hAnsi="Arial" w:cs="Arial"/>
              </w:rPr>
            </w:pPr>
          </w:p>
          <w:p w14:paraId="2807C208" w14:textId="2B6E15B7" w:rsidR="00394830" w:rsidRDefault="00394830" w:rsidP="00394830">
            <w:pPr>
              <w:pStyle w:val="NoSpacing"/>
              <w:spacing w:line="240" w:lineRule="auto"/>
              <w:ind w:left="25" w:right="-108"/>
              <w:rPr>
                <w:rFonts w:ascii="Arial" w:hAnsi="Arial" w:cs="Arial"/>
              </w:rPr>
            </w:pPr>
            <w:r w:rsidRPr="00FC0095">
              <w:rPr>
                <w:rFonts w:ascii="Arial" w:hAnsi="Arial" w:cs="Arial"/>
              </w:rPr>
              <w:t>The Accounting Division has continuously</w:t>
            </w:r>
            <w:r>
              <w:rPr>
                <w:rFonts w:ascii="Arial" w:hAnsi="Arial" w:cs="Arial"/>
              </w:rPr>
              <w:t xml:space="preserve"> </w:t>
            </w:r>
            <w:r w:rsidRPr="00FC0095">
              <w:rPr>
                <w:rFonts w:ascii="Arial" w:hAnsi="Arial" w:cs="Arial"/>
              </w:rPr>
              <w:t xml:space="preserve">collected disallowance of employees upon retirement </w:t>
            </w:r>
            <w:r>
              <w:rPr>
                <w:rFonts w:ascii="Arial" w:hAnsi="Arial" w:cs="Arial"/>
              </w:rPr>
              <w:t xml:space="preserve">which </w:t>
            </w:r>
            <w:r w:rsidRPr="00FC0095">
              <w:rPr>
                <w:rFonts w:ascii="Arial" w:hAnsi="Arial" w:cs="Arial"/>
              </w:rPr>
              <w:t xml:space="preserve">are deducted from their </w:t>
            </w:r>
            <w:r>
              <w:rPr>
                <w:rFonts w:ascii="Arial" w:hAnsi="Arial" w:cs="Arial"/>
              </w:rPr>
              <w:t xml:space="preserve">respective </w:t>
            </w:r>
            <w:r w:rsidRPr="00FC0095">
              <w:rPr>
                <w:rFonts w:ascii="Arial" w:hAnsi="Arial" w:cs="Arial"/>
              </w:rPr>
              <w:t>terminal leave pay.</w:t>
            </w:r>
          </w:p>
        </w:tc>
      </w:tr>
      <w:tr w:rsidR="0035547E" w:rsidRPr="0035547E" w14:paraId="23C987D8" w14:textId="77777777" w:rsidTr="00C24152">
        <w:trPr>
          <w:trHeight w:val="396"/>
        </w:trPr>
        <w:tc>
          <w:tcPr>
            <w:tcW w:w="5199" w:type="dxa"/>
          </w:tcPr>
          <w:p w14:paraId="65273736" w14:textId="2918C201" w:rsidR="0002177A" w:rsidRDefault="0002177A" w:rsidP="00C24152">
            <w:pPr>
              <w:pStyle w:val="NoSpacing"/>
              <w:spacing w:line="240" w:lineRule="auto"/>
              <w:rPr>
                <w:rFonts w:ascii="Arial" w:hAnsi="Arial" w:cs="Arial"/>
                <w:b/>
                <w:u w:val="single"/>
              </w:rPr>
            </w:pPr>
          </w:p>
          <w:p w14:paraId="06FD4AFC" w14:textId="33BDA9CE" w:rsidR="00A541DF" w:rsidRDefault="00331FE1" w:rsidP="00A541DF">
            <w:pPr>
              <w:pStyle w:val="NoSpacing"/>
              <w:spacing w:line="240" w:lineRule="auto"/>
              <w:ind w:left="-105"/>
              <w:rPr>
                <w:rFonts w:ascii="Arial" w:hAnsi="Arial" w:cs="Arial"/>
                <w:b/>
                <w:u w:val="single"/>
              </w:rPr>
            </w:pPr>
            <w:r>
              <w:rPr>
                <w:rFonts w:ascii="Arial" w:hAnsi="Arial" w:cs="Arial"/>
                <w:b/>
                <w:u w:val="single"/>
              </w:rPr>
              <w:t>CY 2017 AAR</w:t>
            </w:r>
          </w:p>
          <w:p w14:paraId="4F2D2D62" w14:textId="75D1A6EA" w:rsidR="00A541DF" w:rsidRPr="00BC7B11" w:rsidRDefault="00A541DF">
            <w:pPr>
              <w:pStyle w:val="NoSpacing"/>
              <w:spacing w:line="240" w:lineRule="auto"/>
              <w:ind w:left="-105"/>
            </w:pPr>
          </w:p>
        </w:tc>
        <w:tc>
          <w:tcPr>
            <w:tcW w:w="3801" w:type="dxa"/>
          </w:tcPr>
          <w:p w14:paraId="1332ED62" w14:textId="6661B485" w:rsidR="00A541DF" w:rsidRPr="00000A5C" w:rsidRDefault="00A541DF" w:rsidP="00F70BB7">
            <w:pPr>
              <w:pStyle w:val="NoSpacing"/>
              <w:spacing w:line="240" w:lineRule="auto"/>
              <w:rPr>
                <w:rFonts w:ascii="Arial" w:hAnsi="Arial" w:cs="Arial"/>
              </w:rPr>
            </w:pPr>
          </w:p>
        </w:tc>
      </w:tr>
      <w:tr w:rsidR="007758CC" w:rsidRPr="0035547E" w14:paraId="3ACCD0F9" w14:textId="77777777" w:rsidTr="00C24152">
        <w:trPr>
          <w:trHeight w:val="64"/>
        </w:trPr>
        <w:tc>
          <w:tcPr>
            <w:tcW w:w="5199" w:type="dxa"/>
          </w:tcPr>
          <w:p w14:paraId="056D28A3" w14:textId="3AF1E617" w:rsidR="007758CC" w:rsidRPr="00000A5C" w:rsidRDefault="007758CC" w:rsidP="00FD5678">
            <w:pPr>
              <w:pStyle w:val="NoSpacing"/>
              <w:numPr>
                <w:ilvl w:val="0"/>
                <w:numId w:val="21"/>
              </w:numPr>
              <w:tabs>
                <w:tab w:val="left" w:pos="360"/>
              </w:tabs>
              <w:spacing w:line="240" w:lineRule="auto"/>
              <w:ind w:left="-120" w:firstLine="0"/>
              <w:rPr>
                <w:rFonts w:ascii="Arial" w:hAnsi="Arial" w:cs="Arial"/>
              </w:rPr>
            </w:pPr>
            <w:r w:rsidRPr="00000A5C">
              <w:rPr>
                <w:rFonts w:ascii="Arial" w:hAnsi="Arial" w:cs="Arial"/>
                <w:bCs/>
              </w:rPr>
              <w:t xml:space="preserve">The existence and completeness of the Property, Plant and Equipment (PPE) account with total cost of P702.433 million as at December 31, 2017 could not be ascertained due to: </w:t>
            </w:r>
            <w:r w:rsidR="00FD5678">
              <w:rPr>
                <w:rFonts w:ascii="Arial" w:hAnsi="Arial" w:cs="Arial"/>
                <w:bCs/>
              </w:rPr>
              <w:t xml:space="preserve"> </w:t>
            </w:r>
            <w:r w:rsidRPr="00000A5C">
              <w:rPr>
                <w:rFonts w:ascii="Arial" w:hAnsi="Arial" w:cs="Arial"/>
                <w:bCs/>
              </w:rPr>
              <w:t>(a) incomplete physical inventory of immovable assets in NTA–</w:t>
            </w:r>
            <w:r w:rsidR="00E158CB">
              <w:rPr>
                <w:rFonts w:ascii="Arial" w:hAnsi="Arial" w:cs="Arial"/>
                <w:bCs/>
              </w:rPr>
              <w:t>H</w:t>
            </w:r>
            <w:r w:rsidRPr="00000A5C">
              <w:rPr>
                <w:rFonts w:ascii="Arial" w:hAnsi="Arial" w:cs="Arial"/>
                <w:bCs/>
              </w:rPr>
              <w:t>O</w:t>
            </w:r>
            <w:r w:rsidR="00FD5678">
              <w:rPr>
                <w:rFonts w:ascii="Arial" w:hAnsi="Arial" w:cs="Arial"/>
                <w:bCs/>
              </w:rPr>
              <w:t xml:space="preserve"> </w:t>
            </w:r>
            <w:r w:rsidRPr="00000A5C">
              <w:rPr>
                <w:rFonts w:ascii="Arial" w:hAnsi="Arial" w:cs="Arial"/>
                <w:bCs/>
              </w:rPr>
              <w:t>totaling P</w:t>
            </w:r>
            <w:r w:rsidRPr="00000A5C">
              <w:rPr>
                <w:rFonts w:ascii="Arial" w:hAnsi="Arial" w:cs="Arial"/>
              </w:rPr>
              <w:t>120.819 million;</w:t>
            </w:r>
            <w:r w:rsidR="00204114">
              <w:rPr>
                <w:rFonts w:ascii="Arial" w:hAnsi="Arial" w:cs="Arial"/>
              </w:rPr>
              <w:t xml:space="preserve"> </w:t>
            </w:r>
            <w:r w:rsidRPr="00000A5C">
              <w:rPr>
                <w:rFonts w:ascii="Arial" w:hAnsi="Arial" w:cs="Arial"/>
              </w:rPr>
              <w:t>(</w:t>
            </w:r>
            <w:r w:rsidRPr="00000A5C">
              <w:rPr>
                <w:rFonts w:ascii="Arial" w:hAnsi="Arial" w:cs="Arial"/>
                <w:bCs/>
              </w:rPr>
              <w:t xml:space="preserve">b) </w:t>
            </w:r>
            <w:r w:rsidRPr="00000A5C">
              <w:rPr>
                <w:rFonts w:ascii="Arial" w:hAnsi="Arial" w:cs="Arial"/>
              </w:rPr>
              <w:t>discrepancies of P170.458 million between accounting records of P165.331 million and property records of P335.789 million in NTA–</w:t>
            </w:r>
            <w:r w:rsidR="00E158CB">
              <w:rPr>
                <w:rFonts w:ascii="Arial" w:hAnsi="Arial" w:cs="Arial"/>
              </w:rPr>
              <w:t>H</w:t>
            </w:r>
            <w:r w:rsidRPr="00000A5C">
              <w:rPr>
                <w:rFonts w:ascii="Arial" w:hAnsi="Arial" w:cs="Arial"/>
              </w:rPr>
              <w:t>O and Isabela Branch; (</w:t>
            </w:r>
            <w:r w:rsidRPr="00000A5C">
              <w:rPr>
                <w:rFonts w:ascii="Arial" w:hAnsi="Arial" w:cs="Arial"/>
                <w:bCs/>
                <w:iCs/>
              </w:rPr>
              <w:t>c</w:t>
            </w:r>
            <w:r w:rsidRPr="00000A5C">
              <w:rPr>
                <w:rFonts w:ascii="Arial" w:hAnsi="Arial" w:cs="Arial"/>
              </w:rPr>
              <w:t>) non-provision of allowance for impairment loss on the idle property in NTA Cagayan Branch which is not in accordance with PPSAS</w:t>
            </w:r>
            <w:r w:rsidR="00FD5678">
              <w:rPr>
                <w:rFonts w:ascii="Arial" w:hAnsi="Arial" w:cs="Arial"/>
              </w:rPr>
              <w:t xml:space="preserve"> </w:t>
            </w:r>
            <w:r w:rsidRPr="00000A5C">
              <w:rPr>
                <w:rFonts w:ascii="Arial" w:hAnsi="Arial" w:cs="Arial"/>
              </w:rPr>
              <w:t>21; and (d) other deficiencies which affect the ownership of NTA over</w:t>
            </w:r>
            <w:r>
              <w:rPr>
                <w:rFonts w:ascii="Arial" w:hAnsi="Arial" w:cs="Arial"/>
              </w:rPr>
              <w:t xml:space="preserve"> its properties</w:t>
            </w:r>
            <w:r w:rsidR="00FD5678">
              <w:rPr>
                <w:rFonts w:ascii="Arial" w:hAnsi="Arial" w:cs="Arial"/>
              </w:rPr>
              <w:t>.</w:t>
            </w:r>
          </w:p>
          <w:p w14:paraId="47BCAD69" w14:textId="77777777" w:rsidR="007758CC" w:rsidRDefault="007758CC" w:rsidP="00AE683B">
            <w:pPr>
              <w:pStyle w:val="NoSpacing"/>
              <w:ind w:left="-105"/>
              <w:rPr>
                <w:rFonts w:ascii="Arial" w:hAnsi="Arial" w:cs="Arial"/>
                <w:u w:val="single"/>
              </w:rPr>
            </w:pPr>
          </w:p>
          <w:p w14:paraId="2C5577D4" w14:textId="6597307F" w:rsidR="007758CC" w:rsidRDefault="007758CC" w:rsidP="00AE683B">
            <w:pPr>
              <w:pStyle w:val="NoSpacing"/>
              <w:ind w:left="-105"/>
              <w:rPr>
                <w:rFonts w:ascii="Arial" w:hAnsi="Arial" w:cs="Arial"/>
              </w:rPr>
            </w:pPr>
            <w:r>
              <w:rPr>
                <w:rFonts w:ascii="Arial" w:hAnsi="Arial" w:cs="Arial"/>
              </w:rPr>
              <w:t>We recommended and Management agreed to:</w:t>
            </w:r>
          </w:p>
          <w:p w14:paraId="742C5951" w14:textId="77777777" w:rsidR="00260C75" w:rsidRDefault="00260C75" w:rsidP="00AE683B">
            <w:pPr>
              <w:pStyle w:val="NoSpacing"/>
              <w:ind w:left="-105"/>
              <w:rPr>
                <w:rFonts w:ascii="Arial" w:hAnsi="Arial" w:cs="Arial"/>
              </w:rPr>
            </w:pPr>
          </w:p>
          <w:p w14:paraId="46518BD5" w14:textId="555C9F8C" w:rsidR="007758CC" w:rsidRPr="00000A5C" w:rsidRDefault="007758CC" w:rsidP="00AE683B">
            <w:pPr>
              <w:pStyle w:val="NoSpacing"/>
              <w:numPr>
                <w:ilvl w:val="0"/>
                <w:numId w:val="6"/>
              </w:numPr>
              <w:tabs>
                <w:tab w:val="left" w:pos="324"/>
              </w:tabs>
              <w:ind w:left="-105" w:firstLine="0"/>
              <w:rPr>
                <w:rFonts w:ascii="Arial" w:hAnsi="Arial" w:cs="Arial"/>
              </w:rPr>
            </w:pPr>
            <w:r w:rsidRPr="00000A5C">
              <w:rPr>
                <w:rFonts w:ascii="Arial" w:hAnsi="Arial" w:cs="Arial"/>
              </w:rPr>
              <w:t xml:space="preserve">Require the </w:t>
            </w:r>
            <w:r w:rsidR="006B18F8">
              <w:rPr>
                <w:rFonts w:ascii="Arial" w:hAnsi="Arial" w:cs="Arial"/>
              </w:rPr>
              <w:t xml:space="preserve">Inventory Committee to complete the conduct of physical inventory of immovable assets </w:t>
            </w:r>
            <w:r w:rsidR="00A10727">
              <w:rPr>
                <w:rFonts w:ascii="Arial" w:hAnsi="Arial" w:cs="Arial"/>
              </w:rPr>
              <w:t>in NTA-</w:t>
            </w:r>
            <w:r w:rsidR="00E158CB">
              <w:rPr>
                <w:rFonts w:ascii="Arial" w:hAnsi="Arial" w:cs="Arial"/>
              </w:rPr>
              <w:t>H</w:t>
            </w:r>
            <w:r w:rsidR="00A10727">
              <w:rPr>
                <w:rFonts w:ascii="Arial" w:hAnsi="Arial" w:cs="Arial"/>
              </w:rPr>
              <w:t xml:space="preserve">O books including the properties located in CAR, Regions I and II to check their existence and conditions and, to prepare the RPCPPE for reconciliation with the accounting and property records and to identify the missing and unrecorded properties in the books; </w:t>
            </w:r>
          </w:p>
          <w:p w14:paraId="416E3E73" w14:textId="77777777" w:rsidR="007758CC" w:rsidRPr="00000A5C" w:rsidRDefault="007758CC" w:rsidP="00AE683B">
            <w:pPr>
              <w:pStyle w:val="NoSpacing"/>
              <w:ind w:left="-105"/>
              <w:rPr>
                <w:rFonts w:ascii="Arial" w:hAnsi="Arial" w:cs="Arial"/>
              </w:rPr>
            </w:pPr>
          </w:p>
          <w:p w14:paraId="0DCF0303" w14:textId="77777777" w:rsidR="00191149" w:rsidRPr="00000A5C" w:rsidRDefault="00191149" w:rsidP="00AE683B">
            <w:pPr>
              <w:pStyle w:val="NoSpacing"/>
              <w:ind w:left="-105"/>
              <w:rPr>
                <w:rFonts w:ascii="Arial" w:hAnsi="Arial" w:cs="Arial"/>
              </w:rPr>
            </w:pPr>
          </w:p>
          <w:p w14:paraId="61D84FCC" w14:textId="427A2564" w:rsidR="0086238C" w:rsidRDefault="0086238C" w:rsidP="00BC7B11">
            <w:pPr>
              <w:pStyle w:val="NoSpacing"/>
              <w:tabs>
                <w:tab w:val="left" w:pos="324"/>
              </w:tabs>
              <w:rPr>
                <w:rFonts w:ascii="Arial" w:hAnsi="Arial" w:cs="Arial"/>
                <w:b/>
                <w:u w:val="single"/>
              </w:rPr>
            </w:pPr>
          </w:p>
          <w:p w14:paraId="1284D344" w14:textId="5D618F01" w:rsidR="00DE0A92" w:rsidRPr="00204114" w:rsidRDefault="00DE0A92" w:rsidP="00204114">
            <w:pPr>
              <w:pStyle w:val="NoSpacing"/>
              <w:numPr>
                <w:ilvl w:val="0"/>
                <w:numId w:val="6"/>
              </w:numPr>
              <w:tabs>
                <w:tab w:val="left" w:pos="324"/>
              </w:tabs>
              <w:ind w:left="-105" w:firstLine="0"/>
              <w:rPr>
                <w:rFonts w:ascii="Arial" w:hAnsi="Arial" w:cs="Arial"/>
              </w:rPr>
            </w:pPr>
            <w:r w:rsidRPr="00204114">
              <w:rPr>
                <w:rFonts w:ascii="Arial" w:hAnsi="Arial" w:cs="Arial"/>
              </w:rPr>
              <w:t>Exhaust all remedies for the recovery of parcels of land in Isabela subject of Emancipation Patents in favor of</w:t>
            </w:r>
            <w:r w:rsidR="00770D23">
              <w:rPr>
                <w:rFonts w:ascii="Arial" w:hAnsi="Arial" w:cs="Arial"/>
              </w:rPr>
              <w:t xml:space="preserve"> Department of Agrarian Reform (</w:t>
            </w:r>
            <w:r w:rsidRPr="00204114">
              <w:rPr>
                <w:rFonts w:ascii="Arial" w:hAnsi="Arial" w:cs="Arial"/>
              </w:rPr>
              <w:t>DAR</w:t>
            </w:r>
            <w:r w:rsidR="00770D23">
              <w:rPr>
                <w:rFonts w:ascii="Arial" w:hAnsi="Arial" w:cs="Arial"/>
              </w:rPr>
              <w:t>)</w:t>
            </w:r>
            <w:r w:rsidRPr="00204114">
              <w:rPr>
                <w:rFonts w:ascii="Arial" w:hAnsi="Arial" w:cs="Arial"/>
              </w:rPr>
              <w:t xml:space="preserve"> beneficiaries and, follow up reply of DAR on letter-complaint filed by the NTA for the consequent cancellation of the </w:t>
            </w:r>
            <w:r w:rsidR="003C6DDB">
              <w:rPr>
                <w:rFonts w:ascii="Arial" w:hAnsi="Arial" w:cs="Arial"/>
              </w:rPr>
              <w:t>emancipation patents</w:t>
            </w:r>
            <w:r w:rsidR="00EA7F40">
              <w:rPr>
                <w:rFonts w:ascii="Arial" w:hAnsi="Arial" w:cs="Arial"/>
              </w:rPr>
              <w:t xml:space="preserve"> (</w:t>
            </w:r>
            <w:r w:rsidRPr="00204114">
              <w:rPr>
                <w:rFonts w:ascii="Arial" w:hAnsi="Arial" w:cs="Arial"/>
              </w:rPr>
              <w:t>EPs</w:t>
            </w:r>
            <w:r w:rsidR="00EA7F40">
              <w:rPr>
                <w:rFonts w:ascii="Arial" w:hAnsi="Arial" w:cs="Arial"/>
              </w:rPr>
              <w:t>)</w:t>
            </w:r>
            <w:r w:rsidRPr="00204114">
              <w:rPr>
                <w:rFonts w:ascii="Arial" w:hAnsi="Arial" w:cs="Arial"/>
              </w:rPr>
              <w:t>;</w:t>
            </w:r>
          </w:p>
          <w:p w14:paraId="5487FA3C" w14:textId="77777777" w:rsidR="00D47BF1" w:rsidRDefault="00D47BF1" w:rsidP="00BC7B11">
            <w:pPr>
              <w:pStyle w:val="NoSpacing"/>
              <w:tabs>
                <w:tab w:val="left" w:pos="324"/>
              </w:tabs>
              <w:rPr>
                <w:rFonts w:ascii="Arial" w:hAnsi="Arial" w:cs="Arial"/>
                <w:b/>
                <w:u w:val="single"/>
              </w:rPr>
            </w:pPr>
          </w:p>
          <w:p w14:paraId="6C9DEA6F" w14:textId="02B80EB4" w:rsidR="00DE0A92" w:rsidRPr="00204114" w:rsidRDefault="00DE0A92" w:rsidP="00204114">
            <w:pPr>
              <w:pStyle w:val="NoSpacing"/>
              <w:numPr>
                <w:ilvl w:val="0"/>
                <w:numId w:val="6"/>
              </w:numPr>
              <w:tabs>
                <w:tab w:val="left" w:pos="324"/>
              </w:tabs>
              <w:ind w:left="-105" w:firstLine="0"/>
              <w:rPr>
                <w:rFonts w:ascii="Arial" w:hAnsi="Arial" w:cs="Arial"/>
              </w:rPr>
            </w:pPr>
            <w:r w:rsidRPr="00204114">
              <w:rPr>
                <w:rFonts w:ascii="Arial" w:hAnsi="Arial" w:cs="Arial"/>
              </w:rPr>
              <w:t xml:space="preserve">Require the person responsible in the </w:t>
            </w:r>
            <w:r w:rsidR="00FE2332">
              <w:rPr>
                <w:rFonts w:ascii="Arial" w:hAnsi="Arial" w:cs="Arial"/>
              </w:rPr>
              <w:t>H</w:t>
            </w:r>
            <w:r w:rsidRPr="00204114">
              <w:rPr>
                <w:rFonts w:ascii="Arial" w:hAnsi="Arial" w:cs="Arial"/>
              </w:rPr>
              <w:t>O to provide NTA Batac Branch copy of the Deed of Donation of the two buildings donated to Isabela State University in order for the Branch Accountant to drop these properties from the books;</w:t>
            </w:r>
          </w:p>
          <w:p w14:paraId="20390141" w14:textId="0DCCF22B" w:rsidR="00DE0A92" w:rsidRDefault="00DE0A92" w:rsidP="00BC7B11">
            <w:pPr>
              <w:pStyle w:val="NoSpacing"/>
              <w:tabs>
                <w:tab w:val="left" w:pos="324"/>
              </w:tabs>
              <w:rPr>
                <w:rFonts w:ascii="Arial" w:hAnsi="Arial" w:cs="Arial"/>
                <w:b/>
                <w:u w:val="single"/>
              </w:rPr>
            </w:pPr>
          </w:p>
          <w:p w14:paraId="0A73220F" w14:textId="7DEE4308" w:rsidR="00AD345B" w:rsidRDefault="00AD345B" w:rsidP="00BC7B11">
            <w:pPr>
              <w:pStyle w:val="NoSpacing"/>
              <w:tabs>
                <w:tab w:val="left" w:pos="324"/>
              </w:tabs>
              <w:rPr>
                <w:rFonts w:ascii="Arial" w:hAnsi="Arial" w:cs="Arial"/>
                <w:b/>
                <w:u w:val="single"/>
              </w:rPr>
            </w:pPr>
          </w:p>
          <w:p w14:paraId="388E82D7" w14:textId="4E3E528A" w:rsidR="00AD345B" w:rsidRDefault="00AD345B" w:rsidP="00BC7B11">
            <w:pPr>
              <w:pStyle w:val="NoSpacing"/>
              <w:tabs>
                <w:tab w:val="left" w:pos="324"/>
              </w:tabs>
              <w:rPr>
                <w:rFonts w:ascii="Arial" w:hAnsi="Arial" w:cs="Arial"/>
                <w:b/>
                <w:u w:val="single"/>
              </w:rPr>
            </w:pPr>
          </w:p>
          <w:p w14:paraId="47F14934" w14:textId="0E923E43" w:rsidR="00AD345B" w:rsidRDefault="00AD345B" w:rsidP="00BC7B11">
            <w:pPr>
              <w:pStyle w:val="NoSpacing"/>
              <w:tabs>
                <w:tab w:val="left" w:pos="324"/>
              </w:tabs>
              <w:rPr>
                <w:rFonts w:ascii="Arial" w:hAnsi="Arial" w:cs="Arial"/>
                <w:b/>
                <w:u w:val="single"/>
              </w:rPr>
            </w:pPr>
          </w:p>
          <w:p w14:paraId="1B6B592C" w14:textId="0048B5BE" w:rsidR="00AD345B" w:rsidRDefault="00AD345B" w:rsidP="00BC7B11">
            <w:pPr>
              <w:pStyle w:val="NoSpacing"/>
              <w:tabs>
                <w:tab w:val="left" w:pos="324"/>
              </w:tabs>
              <w:rPr>
                <w:rFonts w:ascii="Arial" w:hAnsi="Arial" w:cs="Arial"/>
                <w:b/>
                <w:u w:val="single"/>
              </w:rPr>
            </w:pPr>
          </w:p>
          <w:p w14:paraId="6639F655" w14:textId="68A90DA9" w:rsidR="00AD345B" w:rsidRPr="00204114" w:rsidRDefault="00AD345B" w:rsidP="00204114">
            <w:pPr>
              <w:pStyle w:val="NoSpacing"/>
              <w:numPr>
                <w:ilvl w:val="0"/>
                <w:numId w:val="6"/>
              </w:numPr>
              <w:tabs>
                <w:tab w:val="left" w:pos="324"/>
              </w:tabs>
              <w:ind w:left="-105" w:firstLine="0"/>
              <w:rPr>
                <w:rFonts w:ascii="Arial" w:hAnsi="Arial" w:cs="Arial"/>
                <w:b/>
                <w:u w:val="single"/>
              </w:rPr>
            </w:pPr>
            <w:r w:rsidRPr="00204114">
              <w:rPr>
                <w:rFonts w:ascii="Arial" w:hAnsi="Arial" w:cs="Arial"/>
              </w:rPr>
              <w:t>Exhaust all possible means to facilitate the preparation of documentary requirements to secure the Transfer Certificate of Titles of all parcels of land acquired, as evidence of ownership of NTA over these properties</w:t>
            </w:r>
          </w:p>
          <w:p w14:paraId="0C800B10" w14:textId="77777777" w:rsidR="00DE0A92" w:rsidRDefault="00DE0A92" w:rsidP="00BC7B11">
            <w:pPr>
              <w:pStyle w:val="NoSpacing"/>
              <w:tabs>
                <w:tab w:val="left" w:pos="324"/>
              </w:tabs>
              <w:rPr>
                <w:rFonts w:ascii="Arial" w:hAnsi="Arial" w:cs="Arial"/>
                <w:b/>
                <w:u w:val="single"/>
              </w:rPr>
            </w:pPr>
          </w:p>
          <w:p w14:paraId="58414F7C" w14:textId="77777777" w:rsidR="00BD7A77" w:rsidRDefault="00BD7A77" w:rsidP="00BC7B11">
            <w:pPr>
              <w:pStyle w:val="NoSpacing"/>
              <w:tabs>
                <w:tab w:val="left" w:pos="324"/>
              </w:tabs>
              <w:rPr>
                <w:rFonts w:ascii="Arial" w:hAnsi="Arial" w:cs="Arial"/>
                <w:b/>
                <w:u w:val="single"/>
              </w:rPr>
            </w:pPr>
          </w:p>
          <w:p w14:paraId="178FB47B" w14:textId="77777777" w:rsidR="00BD7A77" w:rsidRDefault="00BD7A77" w:rsidP="00BC7B11">
            <w:pPr>
              <w:pStyle w:val="NoSpacing"/>
              <w:tabs>
                <w:tab w:val="left" w:pos="324"/>
              </w:tabs>
              <w:rPr>
                <w:rFonts w:ascii="Arial" w:hAnsi="Arial" w:cs="Arial"/>
                <w:b/>
                <w:u w:val="single"/>
              </w:rPr>
            </w:pPr>
          </w:p>
          <w:p w14:paraId="7B8CD3AD" w14:textId="77777777" w:rsidR="00BD7A77" w:rsidRDefault="00BD7A77" w:rsidP="00BC7B11">
            <w:pPr>
              <w:pStyle w:val="NoSpacing"/>
              <w:tabs>
                <w:tab w:val="left" w:pos="324"/>
              </w:tabs>
              <w:rPr>
                <w:rFonts w:ascii="Arial" w:hAnsi="Arial" w:cs="Arial"/>
                <w:b/>
                <w:u w:val="single"/>
              </w:rPr>
            </w:pPr>
          </w:p>
          <w:p w14:paraId="326A9383" w14:textId="77777777" w:rsidR="00BD7A77" w:rsidRDefault="00BD7A77" w:rsidP="00BC7B11">
            <w:pPr>
              <w:pStyle w:val="NoSpacing"/>
              <w:tabs>
                <w:tab w:val="left" w:pos="324"/>
              </w:tabs>
              <w:rPr>
                <w:rFonts w:ascii="Arial" w:hAnsi="Arial" w:cs="Arial"/>
                <w:b/>
                <w:u w:val="single"/>
              </w:rPr>
            </w:pPr>
          </w:p>
          <w:p w14:paraId="4B568078" w14:textId="171597BB" w:rsidR="00BD7A77" w:rsidRDefault="00BD7A77" w:rsidP="00BC7B11">
            <w:pPr>
              <w:pStyle w:val="NoSpacing"/>
              <w:tabs>
                <w:tab w:val="left" w:pos="324"/>
              </w:tabs>
              <w:rPr>
                <w:rFonts w:ascii="Arial" w:hAnsi="Arial" w:cs="Arial"/>
                <w:b/>
                <w:u w:val="single"/>
              </w:rPr>
            </w:pPr>
          </w:p>
        </w:tc>
        <w:tc>
          <w:tcPr>
            <w:tcW w:w="3801" w:type="dxa"/>
          </w:tcPr>
          <w:p w14:paraId="508B5E20" w14:textId="77777777" w:rsidR="007758CC" w:rsidRPr="00000A5C" w:rsidRDefault="007758CC" w:rsidP="009A4FEC">
            <w:pPr>
              <w:pStyle w:val="NoSpacing"/>
              <w:ind w:left="25" w:right="-108"/>
              <w:rPr>
                <w:rFonts w:ascii="Arial" w:hAnsi="Arial" w:cs="Arial"/>
              </w:rPr>
            </w:pPr>
          </w:p>
          <w:p w14:paraId="0DA6C5FF" w14:textId="77777777" w:rsidR="007758CC" w:rsidRPr="00000A5C" w:rsidRDefault="007758CC" w:rsidP="009A4FEC">
            <w:pPr>
              <w:pStyle w:val="NoSpacing"/>
              <w:ind w:left="25" w:right="-108"/>
              <w:rPr>
                <w:rFonts w:ascii="Arial" w:hAnsi="Arial" w:cs="Arial"/>
              </w:rPr>
            </w:pPr>
          </w:p>
          <w:p w14:paraId="52068F58" w14:textId="77777777" w:rsidR="007758CC" w:rsidRPr="00000A5C" w:rsidRDefault="007758CC" w:rsidP="009A4FEC">
            <w:pPr>
              <w:pStyle w:val="NoSpacing"/>
              <w:ind w:left="25" w:right="-108"/>
              <w:rPr>
                <w:rFonts w:ascii="Arial" w:hAnsi="Arial" w:cs="Arial"/>
              </w:rPr>
            </w:pPr>
          </w:p>
          <w:p w14:paraId="60B5F64A" w14:textId="77777777" w:rsidR="007758CC" w:rsidRPr="00000A5C" w:rsidRDefault="007758CC" w:rsidP="009A4FEC">
            <w:pPr>
              <w:pStyle w:val="NoSpacing"/>
              <w:ind w:left="25" w:right="-108"/>
              <w:rPr>
                <w:rFonts w:ascii="Arial" w:hAnsi="Arial" w:cs="Arial"/>
              </w:rPr>
            </w:pPr>
          </w:p>
          <w:p w14:paraId="3FB64E1F" w14:textId="77777777" w:rsidR="007758CC" w:rsidRPr="00000A5C" w:rsidRDefault="007758CC" w:rsidP="009A4FEC">
            <w:pPr>
              <w:pStyle w:val="NoSpacing"/>
              <w:ind w:left="25" w:right="-108"/>
              <w:rPr>
                <w:rFonts w:ascii="Arial" w:hAnsi="Arial" w:cs="Arial"/>
              </w:rPr>
            </w:pPr>
          </w:p>
          <w:p w14:paraId="4FDFE1EA" w14:textId="77777777" w:rsidR="007758CC" w:rsidRPr="00000A5C" w:rsidRDefault="007758CC" w:rsidP="009A4FEC">
            <w:pPr>
              <w:pStyle w:val="NoSpacing"/>
              <w:ind w:left="25" w:right="-108"/>
              <w:rPr>
                <w:rFonts w:ascii="Arial" w:hAnsi="Arial" w:cs="Arial"/>
              </w:rPr>
            </w:pPr>
          </w:p>
          <w:p w14:paraId="5AEAA200" w14:textId="77777777" w:rsidR="007758CC" w:rsidRPr="00000A5C" w:rsidRDefault="007758CC" w:rsidP="009A4FEC">
            <w:pPr>
              <w:pStyle w:val="NoSpacing"/>
              <w:ind w:left="25" w:right="-108"/>
              <w:rPr>
                <w:rFonts w:ascii="Arial" w:hAnsi="Arial" w:cs="Arial"/>
              </w:rPr>
            </w:pPr>
          </w:p>
          <w:p w14:paraId="7655CB97" w14:textId="77777777" w:rsidR="007758CC" w:rsidRPr="00000A5C" w:rsidRDefault="007758CC" w:rsidP="009A4FEC">
            <w:pPr>
              <w:pStyle w:val="NoSpacing"/>
              <w:ind w:left="25" w:right="-108"/>
              <w:rPr>
                <w:rFonts w:ascii="Arial" w:hAnsi="Arial" w:cs="Arial"/>
              </w:rPr>
            </w:pPr>
          </w:p>
          <w:p w14:paraId="547047C8" w14:textId="77777777" w:rsidR="007758CC" w:rsidRPr="00000A5C" w:rsidRDefault="007758CC" w:rsidP="009A4FEC">
            <w:pPr>
              <w:pStyle w:val="NoSpacing"/>
              <w:ind w:left="25" w:right="-108"/>
              <w:rPr>
                <w:rFonts w:ascii="Arial" w:hAnsi="Arial" w:cs="Arial"/>
              </w:rPr>
            </w:pPr>
          </w:p>
          <w:p w14:paraId="727E9B18" w14:textId="77777777" w:rsidR="007758CC" w:rsidRPr="00000A5C" w:rsidRDefault="007758CC" w:rsidP="009A4FEC">
            <w:pPr>
              <w:pStyle w:val="NoSpacing"/>
              <w:ind w:left="25" w:right="-108"/>
              <w:rPr>
                <w:rFonts w:ascii="Arial" w:hAnsi="Arial" w:cs="Arial"/>
              </w:rPr>
            </w:pPr>
          </w:p>
          <w:p w14:paraId="7E10E6F2" w14:textId="77777777" w:rsidR="007758CC" w:rsidRPr="00000A5C" w:rsidRDefault="007758CC" w:rsidP="009A4FEC">
            <w:pPr>
              <w:pStyle w:val="NoSpacing"/>
              <w:ind w:left="25" w:right="-108"/>
              <w:rPr>
                <w:rFonts w:ascii="Arial" w:hAnsi="Arial" w:cs="Arial"/>
              </w:rPr>
            </w:pPr>
          </w:p>
          <w:p w14:paraId="6978BC3C" w14:textId="77777777" w:rsidR="007758CC" w:rsidRPr="00000A5C" w:rsidRDefault="007758CC" w:rsidP="009A4FEC">
            <w:pPr>
              <w:pStyle w:val="NoSpacing"/>
              <w:ind w:left="25" w:right="-108"/>
              <w:rPr>
                <w:rFonts w:ascii="Arial" w:hAnsi="Arial" w:cs="Arial"/>
              </w:rPr>
            </w:pPr>
          </w:p>
          <w:p w14:paraId="57DA4068" w14:textId="77777777" w:rsidR="007758CC" w:rsidRPr="00000A5C" w:rsidRDefault="007758CC" w:rsidP="009A4FEC">
            <w:pPr>
              <w:pStyle w:val="NoSpacing"/>
              <w:ind w:left="25" w:right="-108"/>
              <w:rPr>
                <w:rFonts w:ascii="Arial" w:hAnsi="Arial" w:cs="Arial"/>
              </w:rPr>
            </w:pPr>
          </w:p>
          <w:p w14:paraId="0BA5B4DF" w14:textId="77777777" w:rsidR="007758CC" w:rsidRPr="00000A5C" w:rsidRDefault="007758CC" w:rsidP="009A4FEC">
            <w:pPr>
              <w:pStyle w:val="NoSpacing"/>
              <w:ind w:left="25" w:right="-108"/>
              <w:rPr>
                <w:rFonts w:ascii="Arial" w:hAnsi="Arial" w:cs="Arial"/>
              </w:rPr>
            </w:pPr>
          </w:p>
          <w:p w14:paraId="6F1893B8" w14:textId="77777777" w:rsidR="00C32175" w:rsidRDefault="00C32175" w:rsidP="009A4FEC">
            <w:pPr>
              <w:pStyle w:val="NoSpacing"/>
              <w:ind w:left="25" w:right="-108"/>
              <w:rPr>
                <w:rFonts w:ascii="Arial" w:hAnsi="Arial" w:cs="Arial"/>
              </w:rPr>
            </w:pPr>
          </w:p>
          <w:p w14:paraId="07307EAE" w14:textId="646B68D1" w:rsidR="007758CC" w:rsidRDefault="007758CC" w:rsidP="009A4FEC">
            <w:pPr>
              <w:pStyle w:val="NoSpacing"/>
              <w:ind w:left="25" w:right="-108"/>
              <w:rPr>
                <w:rFonts w:ascii="Arial" w:hAnsi="Arial" w:cs="Arial"/>
              </w:rPr>
            </w:pPr>
          </w:p>
          <w:p w14:paraId="07A10574" w14:textId="77777777" w:rsidR="00260C75" w:rsidRPr="00000A5C" w:rsidRDefault="00260C75" w:rsidP="009A4FEC">
            <w:pPr>
              <w:pStyle w:val="NoSpacing"/>
              <w:ind w:left="25" w:right="-108"/>
              <w:rPr>
                <w:rFonts w:ascii="Arial" w:hAnsi="Arial" w:cs="Arial"/>
              </w:rPr>
            </w:pPr>
          </w:p>
          <w:p w14:paraId="6A78A09E" w14:textId="77777777" w:rsidR="007758CC" w:rsidRPr="00000A5C" w:rsidRDefault="007758CC" w:rsidP="00A24BD9">
            <w:pPr>
              <w:pStyle w:val="NoSpacing"/>
              <w:ind w:left="25"/>
              <w:rPr>
                <w:rFonts w:ascii="Arial" w:hAnsi="Arial" w:cs="Arial"/>
              </w:rPr>
            </w:pPr>
            <w:r w:rsidRPr="00000A5C">
              <w:rPr>
                <w:rFonts w:ascii="Arial" w:hAnsi="Arial" w:cs="Arial"/>
              </w:rPr>
              <w:t>Partially Implemented</w:t>
            </w:r>
            <w:r w:rsidR="00C879B3">
              <w:rPr>
                <w:rFonts w:ascii="Arial" w:hAnsi="Arial" w:cs="Arial"/>
              </w:rPr>
              <w:t>.</w:t>
            </w:r>
          </w:p>
          <w:p w14:paraId="30B6AB36" w14:textId="77777777" w:rsidR="007758CC" w:rsidRPr="00000A5C" w:rsidRDefault="007758CC" w:rsidP="00A24BD9">
            <w:pPr>
              <w:pStyle w:val="NoSpacing"/>
              <w:ind w:left="25"/>
              <w:rPr>
                <w:rFonts w:ascii="Arial" w:hAnsi="Arial" w:cs="Arial"/>
              </w:rPr>
            </w:pPr>
          </w:p>
          <w:p w14:paraId="796B91E2" w14:textId="58849B84" w:rsidR="007758CC" w:rsidRDefault="00A10727" w:rsidP="002540A8">
            <w:pPr>
              <w:pStyle w:val="NoSpacing"/>
              <w:ind w:left="25"/>
              <w:rPr>
                <w:rFonts w:ascii="Arial" w:hAnsi="Arial" w:cs="Arial"/>
              </w:rPr>
            </w:pPr>
            <w:r>
              <w:rPr>
                <w:rFonts w:ascii="Arial" w:hAnsi="Arial" w:cs="Arial"/>
              </w:rPr>
              <w:t xml:space="preserve">Management issued Special Order No. 0535 dated July 3, 2019 on the creation of the NTA Asset Inventory Management (AIM) Committee. AIM Memorandum No. 3 was issued to the Chief Budget Officer to surrender and turn over all original copies of the land titles in the name of NTA. </w:t>
            </w:r>
          </w:p>
          <w:p w14:paraId="5DCBCA22" w14:textId="77777777" w:rsidR="00AD345B" w:rsidRDefault="00AD345B" w:rsidP="002540A8">
            <w:pPr>
              <w:pStyle w:val="NoSpacing"/>
              <w:ind w:left="25"/>
              <w:rPr>
                <w:rFonts w:ascii="Arial" w:hAnsi="Arial" w:cs="Arial"/>
              </w:rPr>
            </w:pPr>
          </w:p>
          <w:p w14:paraId="6D9F5FD1" w14:textId="2327DBE3" w:rsidR="00AD345B" w:rsidRDefault="00AD345B" w:rsidP="002540A8">
            <w:pPr>
              <w:pStyle w:val="NoSpacing"/>
              <w:ind w:left="25"/>
              <w:rPr>
                <w:rFonts w:ascii="Arial" w:hAnsi="Arial" w:cs="Arial"/>
              </w:rPr>
            </w:pPr>
            <w:r>
              <w:rPr>
                <w:rFonts w:ascii="Arial" w:hAnsi="Arial" w:cs="Arial"/>
              </w:rPr>
              <w:t>Partially Implemented.</w:t>
            </w:r>
          </w:p>
          <w:p w14:paraId="2B03A015" w14:textId="77777777" w:rsidR="00AD345B" w:rsidRDefault="00AD345B" w:rsidP="002540A8">
            <w:pPr>
              <w:pStyle w:val="NoSpacing"/>
              <w:ind w:left="25"/>
              <w:rPr>
                <w:rFonts w:ascii="Arial" w:hAnsi="Arial" w:cs="Arial"/>
              </w:rPr>
            </w:pPr>
          </w:p>
          <w:p w14:paraId="452104B8" w14:textId="77777777" w:rsidR="00AD345B" w:rsidRPr="00AD345B" w:rsidRDefault="00AD345B" w:rsidP="00AD345B">
            <w:pPr>
              <w:pStyle w:val="NoSpacing"/>
              <w:ind w:right="-43"/>
              <w:rPr>
                <w:rFonts w:ascii="Arial" w:hAnsi="Arial" w:cs="Arial"/>
              </w:rPr>
            </w:pPr>
            <w:r w:rsidRPr="00AD345B">
              <w:rPr>
                <w:rFonts w:ascii="Arial" w:hAnsi="Arial" w:cs="Arial"/>
              </w:rPr>
              <w:t>Management has written to DAR in 2017 and twice in 2018 but no reply as of the moment.</w:t>
            </w:r>
          </w:p>
          <w:p w14:paraId="1EBEDE70" w14:textId="3AA429E2" w:rsidR="00AD345B" w:rsidRDefault="00AD345B" w:rsidP="00AD345B">
            <w:pPr>
              <w:pStyle w:val="NoSpacing"/>
              <w:ind w:left="-72" w:right="-43"/>
              <w:rPr>
                <w:rFonts w:ascii="Arial" w:hAnsi="Arial" w:cs="Arial"/>
              </w:rPr>
            </w:pPr>
          </w:p>
          <w:p w14:paraId="46E78D21" w14:textId="77777777" w:rsidR="00EF6ECA" w:rsidRPr="00AD345B" w:rsidRDefault="00EF6ECA" w:rsidP="00AD345B">
            <w:pPr>
              <w:pStyle w:val="NoSpacing"/>
              <w:ind w:left="-72" w:right="-43"/>
              <w:rPr>
                <w:rFonts w:ascii="Arial" w:hAnsi="Arial" w:cs="Arial"/>
              </w:rPr>
            </w:pPr>
          </w:p>
          <w:p w14:paraId="79BF3515" w14:textId="77777777" w:rsidR="00AD345B" w:rsidRDefault="00AD345B" w:rsidP="00AD345B">
            <w:pPr>
              <w:pStyle w:val="NoSpacing"/>
              <w:ind w:left="25"/>
              <w:rPr>
                <w:rFonts w:ascii="Arial" w:hAnsi="Arial" w:cs="Arial"/>
              </w:rPr>
            </w:pPr>
            <w:r>
              <w:rPr>
                <w:rFonts w:ascii="Arial" w:hAnsi="Arial" w:cs="Arial"/>
              </w:rPr>
              <w:t>Partially Implemented.</w:t>
            </w:r>
          </w:p>
          <w:p w14:paraId="34E6D60E" w14:textId="77777777" w:rsidR="00AD345B" w:rsidRDefault="00AD345B" w:rsidP="002540A8">
            <w:pPr>
              <w:pStyle w:val="NoSpacing"/>
              <w:ind w:left="25"/>
              <w:rPr>
                <w:rFonts w:ascii="Arial" w:hAnsi="Arial" w:cs="Arial"/>
              </w:rPr>
            </w:pPr>
          </w:p>
          <w:p w14:paraId="16AEAD08" w14:textId="1E1AF28D" w:rsidR="00AD345B" w:rsidRPr="00AD345B" w:rsidRDefault="00AD345B" w:rsidP="00AD345B">
            <w:pPr>
              <w:pStyle w:val="NoSpacing"/>
              <w:ind w:right="-43"/>
              <w:rPr>
                <w:rFonts w:ascii="Arial" w:hAnsi="Arial" w:cs="Arial"/>
              </w:rPr>
            </w:pPr>
            <w:r w:rsidRPr="00AD345B">
              <w:rPr>
                <w:rFonts w:ascii="Arial" w:hAnsi="Arial" w:cs="Arial"/>
              </w:rPr>
              <w:t>Board Resolution No. 871-2018 dated July 12, 2018 approved the condemnation of the NTA (PTRTC) building at the Isabela State University. Management shall draw a Deed of Donation to support the J</w:t>
            </w:r>
            <w:r w:rsidR="00D75E4C">
              <w:rPr>
                <w:rFonts w:ascii="Arial" w:hAnsi="Arial" w:cs="Arial"/>
              </w:rPr>
              <w:t>E</w:t>
            </w:r>
            <w:r w:rsidRPr="00AD345B">
              <w:rPr>
                <w:rFonts w:ascii="Arial" w:hAnsi="Arial" w:cs="Arial"/>
              </w:rPr>
              <w:t>V to drop it from the books.</w:t>
            </w:r>
          </w:p>
          <w:p w14:paraId="4A851E85" w14:textId="28E27278" w:rsidR="00AD345B" w:rsidRDefault="00AD345B" w:rsidP="002540A8">
            <w:pPr>
              <w:pStyle w:val="NoSpacing"/>
              <w:ind w:left="25"/>
              <w:rPr>
                <w:rFonts w:ascii="Arial" w:hAnsi="Arial" w:cs="Arial"/>
              </w:rPr>
            </w:pPr>
          </w:p>
          <w:p w14:paraId="6FF0A8FC" w14:textId="77777777" w:rsidR="00AD345B" w:rsidRDefault="00AD345B" w:rsidP="00AD345B">
            <w:pPr>
              <w:pStyle w:val="NoSpacing"/>
              <w:ind w:left="25"/>
              <w:rPr>
                <w:rFonts w:ascii="Arial" w:hAnsi="Arial" w:cs="Arial"/>
              </w:rPr>
            </w:pPr>
            <w:r>
              <w:rPr>
                <w:rFonts w:ascii="Arial" w:hAnsi="Arial" w:cs="Arial"/>
              </w:rPr>
              <w:t>Partially Implemented.</w:t>
            </w:r>
          </w:p>
          <w:p w14:paraId="15592457" w14:textId="77777777" w:rsidR="00AD345B" w:rsidRDefault="00AD345B" w:rsidP="002540A8">
            <w:pPr>
              <w:pStyle w:val="NoSpacing"/>
              <w:ind w:left="25"/>
              <w:rPr>
                <w:rFonts w:ascii="Arial" w:hAnsi="Arial" w:cs="Arial"/>
              </w:rPr>
            </w:pPr>
          </w:p>
          <w:p w14:paraId="17D3D2A8" w14:textId="77777777" w:rsidR="00AD345B" w:rsidRPr="00AD345B" w:rsidRDefault="00AD345B" w:rsidP="00AD345B">
            <w:pPr>
              <w:pStyle w:val="NoSpacing"/>
              <w:ind w:right="-43"/>
              <w:rPr>
                <w:rFonts w:ascii="Arial" w:hAnsi="Arial" w:cs="Arial"/>
              </w:rPr>
            </w:pPr>
            <w:r w:rsidRPr="00AD345B">
              <w:rPr>
                <w:rFonts w:ascii="Arial" w:hAnsi="Arial" w:cs="Arial"/>
              </w:rPr>
              <w:t>The Accounting and Property Divisions are reconciling their records.  There are NTA properties that are not titled and consequently cannot be recorded in the books. The Project Assistant IV is in charge of land titling and property.</w:t>
            </w:r>
          </w:p>
          <w:p w14:paraId="6AD2F9FA" w14:textId="693E47E6" w:rsidR="00AD345B" w:rsidRPr="00000A5C" w:rsidRDefault="00AD345B" w:rsidP="002540A8">
            <w:pPr>
              <w:pStyle w:val="NoSpacing"/>
              <w:ind w:left="25"/>
              <w:rPr>
                <w:rFonts w:ascii="Arial" w:hAnsi="Arial" w:cs="Arial"/>
              </w:rPr>
            </w:pPr>
          </w:p>
        </w:tc>
      </w:tr>
      <w:tr w:rsidR="007758CC" w:rsidRPr="0035547E" w14:paraId="184AFD37" w14:textId="77777777" w:rsidTr="00C24152">
        <w:trPr>
          <w:trHeight w:val="54"/>
        </w:trPr>
        <w:tc>
          <w:tcPr>
            <w:tcW w:w="5199" w:type="dxa"/>
          </w:tcPr>
          <w:p w14:paraId="5E79C2B0" w14:textId="77777777" w:rsidR="007758CC" w:rsidRDefault="007758CC" w:rsidP="00AE683B">
            <w:pPr>
              <w:pStyle w:val="NoSpacing"/>
              <w:ind w:left="-105"/>
              <w:rPr>
                <w:rFonts w:ascii="Arial" w:hAnsi="Arial" w:cs="Arial"/>
                <w:i/>
              </w:rPr>
            </w:pPr>
            <w:r w:rsidRPr="00000A5C">
              <w:rPr>
                <w:rFonts w:ascii="Arial" w:hAnsi="Arial" w:cs="Arial"/>
                <w:i/>
              </w:rPr>
              <w:t>RENEWABLE FUELWOOD ENERGY FARM PROJECT AND RESTORATION OF ECOLOGICAL INTEGRITY – KAHUYANG PANGKABUHAYAN AT PANGKALIKASAN (RFEFPREI-KPP)</w:t>
            </w:r>
          </w:p>
          <w:p w14:paraId="002EB8CD" w14:textId="77777777" w:rsidR="002540A8" w:rsidRPr="00000A5C" w:rsidRDefault="002540A8" w:rsidP="00AE683B">
            <w:pPr>
              <w:pStyle w:val="NoSpacing"/>
              <w:ind w:left="-105"/>
              <w:rPr>
                <w:rFonts w:ascii="Arial" w:hAnsi="Arial" w:cs="Arial"/>
              </w:rPr>
            </w:pPr>
          </w:p>
          <w:p w14:paraId="1B74424D" w14:textId="365A2B8B" w:rsidR="00652AE2" w:rsidRPr="00BB433A" w:rsidRDefault="007758CC" w:rsidP="00204114">
            <w:pPr>
              <w:pStyle w:val="NoSpacing"/>
              <w:numPr>
                <w:ilvl w:val="0"/>
                <w:numId w:val="21"/>
              </w:numPr>
              <w:tabs>
                <w:tab w:val="left" w:pos="360"/>
              </w:tabs>
              <w:spacing w:line="240" w:lineRule="auto"/>
              <w:ind w:left="-120" w:firstLine="0"/>
              <w:rPr>
                <w:rFonts w:ascii="Arial" w:hAnsi="Arial" w:cs="Arial"/>
              </w:rPr>
            </w:pPr>
            <w:r w:rsidRPr="00000A5C">
              <w:rPr>
                <w:rFonts w:ascii="Arial" w:hAnsi="Arial" w:cs="Arial"/>
              </w:rPr>
              <w:t xml:space="preserve">The Farmer-Cooperators (FCs) under the Kahuyang Pangkabuhayan at Pangkalikasan (KPP) component of the RFEFPREI were not able to harvest fuelwood  in 2017 due to: (a) some planted trees did not survive natural calamities in 2015 and 2016; (b) some trees were not ready for harvest since the desirable size for fuelwood was not attained; and (c) full grown trees were not cut due to the regulations of the DENR and LGUs; thus, resulting in low collection of production assistance granted to the FCs in 2013 and non-attainment of the specific objectives of the project which were to supply and augment the energy-fuelwood requirement of the flue-curing Virginia tobacco leaf and promote the creation and development of livelihood enterprises for the tobacco growing communities. </w:t>
            </w:r>
            <w:r w:rsidR="002B669A">
              <w:rPr>
                <w:rFonts w:ascii="Arial" w:hAnsi="Arial" w:cs="Arial"/>
              </w:rPr>
              <w:t xml:space="preserve"> </w:t>
            </w:r>
            <w:r w:rsidRPr="00000A5C">
              <w:rPr>
                <w:rFonts w:ascii="Arial" w:hAnsi="Arial" w:cs="Arial"/>
              </w:rPr>
              <w:t>Moreover, in view of the inability of NTA to fully attain the objectives of the KPP, the project might not be able to contribute to the achievement of the Sustainable Development Goals (SDGs) of No Poverty (Goal 1) and Life on Land (Goal 15) related to the project’s objectives.</w:t>
            </w:r>
          </w:p>
          <w:p w14:paraId="44889F03" w14:textId="77777777" w:rsidR="008800E8" w:rsidRDefault="008800E8" w:rsidP="00AE683B">
            <w:pPr>
              <w:pStyle w:val="NoSpacing"/>
              <w:rPr>
                <w:rFonts w:ascii="Arial" w:hAnsi="Arial" w:cs="Arial"/>
              </w:rPr>
            </w:pPr>
          </w:p>
          <w:p w14:paraId="31884276" w14:textId="77777777" w:rsidR="007758CC" w:rsidRPr="00000A5C" w:rsidRDefault="007758CC" w:rsidP="00AE683B">
            <w:pPr>
              <w:pStyle w:val="NoSpacing"/>
              <w:ind w:left="-105"/>
              <w:rPr>
                <w:rFonts w:ascii="Arial" w:hAnsi="Arial" w:cs="Arial"/>
              </w:rPr>
            </w:pPr>
            <w:r>
              <w:rPr>
                <w:rFonts w:ascii="Arial" w:hAnsi="Arial" w:cs="Arial"/>
              </w:rPr>
              <w:t>We recommended that Management:</w:t>
            </w:r>
          </w:p>
          <w:p w14:paraId="536A6A0E" w14:textId="77777777" w:rsidR="007758CC" w:rsidRPr="00000A5C" w:rsidRDefault="007758CC" w:rsidP="00AE683B">
            <w:pPr>
              <w:pStyle w:val="NoSpacing"/>
              <w:ind w:left="-105"/>
              <w:rPr>
                <w:rFonts w:ascii="Arial" w:hAnsi="Arial" w:cs="Arial"/>
              </w:rPr>
            </w:pPr>
          </w:p>
          <w:p w14:paraId="347375FA" w14:textId="77777777" w:rsidR="007758CC" w:rsidRDefault="007758CC" w:rsidP="00204114">
            <w:pPr>
              <w:pStyle w:val="NoSpacing"/>
              <w:numPr>
                <w:ilvl w:val="0"/>
                <w:numId w:val="42"/>
              </w:numPr>
              <w:tabs>
                <w:tab w:val="left" w:pos="324"/>
              </w:tabs>
              <w:ind w:left="-110" w:firstLine="0"/>
              <w:rPr>
                <w:rFonts w:ascii="Arial" w:hAnsi="Arial" w:cs="Arial"/>
              </w:rPr>
            </w:pPr>
            <w:r w:rsidRPr="00000A5C">
              <w:rPr>
                <w:rFonts w:ascii="Arial" w:hAnsi="Arial" w:cs="Arial"/>
              </w:rPr>
              <w:t>Coordinate with the DENR and LGUs for the harmonization of their policies and regulations that have impact on harvesting and marketing of fuelwood aspect of the project, in order for the FCs to proceed in harvesting and to cash-in their fuelwood produce so that they will be able to settle their loan obligations to NTA; and</w:t>
            </w:r>
          </w:p>
          <w:p w14:paraId="4C81B7F5" w14:textId="77777777" w:rsidR="007758CC" w:rsidRDefault="007758CC" w:rsidP="00AE683B">
            <w:pPr>
              <w:pStyle w:val="NoSpacing"/>
              <w:tabs>
                <w:tab w:val="left" w:pos="372"/>
              </w:tabs>
              <w:ind w:left="-105"/>
              <w:rPr>
                <w:rFonts w:ascii="Arial" w:hAnsi="Arial" w:cs="Arial"/>
              </w:rPr>
            </w:pPr>
          </w:p>
          <w:p w14:paraId="277B1E6D" w14:textId="77777777" w:rsidR="007758CC" w:rsidRPr="006628AE" w:rsidRDefault="007758CC" w:rsidP="00204114">
            <w:pPr>
              <w:pStyle w:val="NoSpacing"/>
              <w:numPr>
                <w:ilvl w:val="0"/>
                <w:numId w:val="42"/>
              </w:numPr>
              <w:tabs>
                <w:tab w:val="left" w:pos="324"/>
              </w:tabs>
              <w:ind w:left="-110" w:firstLine="0"/>
              <w:rPr>
                <w:rFonts w:ascii="Arial" w:hAnsi="Arial" w:cs="Arial"/>
              </w:rPr>
            </w:pPr>
            <w:r w:rsidRPr="006628AE">
              <w:rPr>
                <w:rFonts w:ascii="Arial" w:hAnsi="Arial" w:cs="Arial"/>
              </w:rPr>
              <w:t>See to it that careful planning is undertaken in the conceptualization of projects to be implemented to ensure attainment of the desired objectives and at the same time to contribute in the achievement of the SDG.</w:t>
            </w:r>
          </w:p>
          <w:p w14:paraId="394B0F12" w14:textId="77777777" w:rsidR="007758CC" w:rsidRDefault="007758CC" w:rsidP="00AE683B">
            <w:pPr>
              <w:pStyle w:val="NoSpacing"/>
              <w:ind w:left="-105"/>
              <w:rPr>
                <w:rFonts w:ascii="Arial" w:hAnsi="Arial" w:cs="Arial"/>
                <w:b/>
                <w:u w:val="single"/>
              </w:rPr>
            </w:pPr>
          </w:p>
          <w:p w14:paraId="705D858D" w14:textId="77777777" w:rsidR="002B669A" w:rsidRDefault="002B669A" w:rsidP="00AE683B">
            <w:pPr>
              <w:pStyle w:val="NoSpacing"/>
              <w:ind w:left="-105"/>
              <w:rPr>
                <w:rFonts w:ascii="Arial" w:hAnsi="Arial" w:cs="Arial"/>
                <w:b/>
                <w:u w:val="single"/>
              </w:rPr>
            </w:pPr>
          </w:p>
          <w:p w14:paraId="4ED95CC5" w14:textId="77777777" w:rsidR="00191149" w:rsidRPr="00000A5C" w:rsidRDefault="00191149" w:rsidP="00AE683B">
            <w:pPr>
              <w:pStyle w:val="NoSpacing"/>
              <w:ind w:left="-105"/>
              <w:rPr>
                <w:rFonts w:ascii="Arial" w:hAnsi="Arial" w:cs="Arial"/>
                <w:b/>
                <w:u w:val="single"/>
              </w:rPr>
            </w:pPr>
          </w:p>
        </w:tc>
        <w:tc>
          <w:tcPr>
            <w:tcW w:w="3801" w:type="dxa"/>
          </w:tcPr>
          <w:p w14:paraId="03C8D6CC" w14:textId="77777777" w:rsidR="007758CC" w:rsidRDefault="007758CC" w:rsidP="009A4FEC">
            <w:pPr>
              <w:pStyle w:val="NoSpacing"/>
              <w:ind w:left="25" w:right="-108"/>
              <w:rPr>
                <w:rFonts w:ascii="Arial" w:hAnsi="Arial" w:cs="Arial"/>
              </w:rPr>
            </w:pPr>
          </w:p>
          <w:p w14:paraId="4AE512CC" w14:textId="77777777" w:rsidR="007758CC" w:rsidRDefault="007758CC" w:rsidP="009A4FEC">
            <w:pPr>
              <w:pStyle w:val="NoSpacing"/>
              <w:ind w:left="25" w:right="-108"/>
              <w:rPr>
                <w:rFonts w:ascii="Arial" w:hAnsi="Arial" w:cs="Arial"/>
              </w:rPr>
            </w:pPr>
          </w:p>
          <w:p w14:paraId="510EE8E9" w14:textId="77777777" w:rsidR="007758CC" w:rsidRDefault="007758CC" w:rsidP="009A4FEC">
            <w:pPr>
              <w:pStyle w:val="NoSpacing"/>
              <w:ind w:left="25" w:right="-108"/>
              <w:rPr>
                <w:rFonts w:ascii="Arial" w:hAnsi="Arial" w:cs="Arial"/>
              </w:rPr>
            </w:pPr>
          </w:p>
          <w:p w14:paraId="440A1374" w14:textId="77777777" w:rsidR="007758CC" w:rsidRDefault="007758CC" w:rsidP="009A4FEC">
            <w:pPr>
              <w:pStyle w:val="NoSpacing"/>
              <w:ind w:left="25" w:right="-108"/>
              <w:rPr>
                <w:rFonts w:ascii="Arial" w:hAnsi="Arial" w:cs="Arial"/>
              </w:rPr>
            </w:pPr>
          </w:p>
          <w:p w14:paraId="519916B1" w14:textId="77777777" w:rsidR="007758CC" w:rsidRDefault="007758CC" w:rsidP="009A4FEC">
            <w:pPr>
              <w:pStyle w:val="NoSpacing"/>
              <w:ind w:left="25" w:right="-108"/>
              <w:rPr>
                <w:rFonts w:ascii="Arial" w:hAnsi="Arial" w:cs="Arial"/>
              </w:rPr>
            </w:pPr>
          </w:p>
          <w:p w14:paraId="79085E10" w14:textId="77777777" w:rsidR="007758CC" w:rsidRDefault="007758CC" w:rsidP="009A4FEC">
            <w:pPr>
              <w:pStyle w:val="NoSpacing"/>
              <w:ind w:left="25" w:right="-108"/>
              <w:rPr>
                <w:rFonts w:ascii="Arial" w:hAnsi="Arial" w:cs="Arial"/>
              </w:rPr>
            </w:pPr>
          </w:p>
          <w:p w14:paraId="510D7CE1" w14:textId="77777777" w:rsidR="007758CC" w:rsidRDefault="007758CC" w:rsidP="009A4FEC">
            <w:pPr>
              <w:pStyle w:val="NoSpacing"/>
              <w:ind w:left="25" w:right="-108"/>
              <w:rPr>
                <w:rFonts w:ascii="Arial" w:hAnsi="Arial" w:cs="Arial"/>
              </w:rPr>
            </w:pPr>
          </w:p>
          <w:p w14:paraId="0D7CA154" w14:textId="77777777" w:rsidR="007758CC" w:rsidRDefault="007758CC" w:rsidP="009A4FEC">
            <w:pPr>
              <w:pStyle w:val="NoSpacing"/>
              <w:ind w:left="25" w:right="-108"/>
              <w:rPr>
                <w:rFonts w:ascii="Arial" w:hAnsi="Arial" w:cs="Arial"/>
              </w:rPr>
            </w:pPr>
          </w:p>
          <w:p w14:paraId="0145C1FA" w14:textId="77777777" w:rsidR="007758CC" w:rsidRDefault="007758CC" w:rsidP="009A4FEC">
            <w:pPr>
              <w:pStyle w:val="NoSpacing"/>
              <w:ind w:left="25" w:right="-108"/>
              <w:rPr>
                <w:rFonts w:ascii="Arial" w:hAnsi="Arial" w:cs="Arial"/>
              </w:rPr>
            </w:pPr>
          </w:p>
          <w:p w14:paraId="6C2F389C" w14:textId="77777777" w:rsidR="007758CC" w:rsidRDefault="007758CC" w:rsidP="009A4FEC">
            <w:pPr>
              <w:pStyle w:val="NoSpacing"/>
              <w:ind w:left="25" w:right="-108"/>
              <w:rPr>
                <w:rFonts w:ascii="Arial" w:hAnsi="Arial" w:cs="Arial"/>
              </w:rPr>
            </w:pPr>
          </w:p>
          <w:p w14:paraId="6A9B99A1" w14:textId="77777777" w:rsidR="007758CC" w:rsidRDefault="007758CC" w:rsidP="009A4FEC">
            <w:pPr>
              <w:pStyle w:val="NoSpacing"/>
              <w:ind w:left="25" w:right="-108"/>
              <w:rPr>
                <w:rFonts w:ascii="Arial" w:hAnsi="Arial" w:cs="Arial"/>
              </w:rPr>
            </w:pPr>
          </w:p>
          <w:p w14:paraId="6E619C83" w14:textId="77777777" w:rsidR="007758CC" w:rsidRDefault="007758CC" w:rsidP="009A4FEC">
            <w:pPr>
              <w:pStyle w:val="NoSpacing"/>
              <w:ind w:left="25" w:right="-108"/>
              <w:rPr>
                <w:rFonts w:ascii="Arial" w:hAnsi="Arial" w:cs="Arial"/>
              </w:rPr>
            </w:pPr>
          </w:p>
          <w:p w14:paraId="31BE446D" w14:textId="77777777" w:rsidR="007758CC" w:rsidRDefault="007758CC" w:rsidP="009A4FEC">
            <w:pPr>
              <w:pStyle w:val="NoSpacing"/>
              <w:ind w:left="25" w:right="-108"/>
              <w:rPr>
                <w:rFonts w:ascii="Arial" w:hAnsi="Arial" w:cs="Arial"/>
              </w:rPr>
            </w:pPr>
          </w:p>
          <w:p w14:paraId="6B53E6BB" w14:textId="77777777" w:rsidR="007758CC" w:rsidRDefault="007758CC" w:rsidP="009A4FEC">
            <w:pPr>
              <w:pStyle w:val="NoSpacing"/>
              <w:ind w:left="25" w:right="-108"/>
              <w:rPr>
                <w:rFonts w:ascii="Arial" w:hAnsi="Arial" w:cs="Arial"/>
              </w:rPr>
            </w:pPr>
          </w:p>
          <w:p w14:paraId="0CC78BAC" w14:textId="77777777" w:rsidR="007758CC" w:rsidRDefault="007758CC" w:rsidP="009A4FEC">
            <w:pPr>
              <w:pStyle w:val="NoSpacing"/>
              <w:ind w:left="25" w:right="-108"/>
              <w:rPr>
                <w:rFonts w:ascii="Arial" w:hAnsi="Arial" w:cs="Arial"/>
              </w:rPr>
            </w:pPr>
          </w:p>
          <w:p w14:paraId="5E460326" w14:textId="77777777" w:rsidR="007758CC" w:rsidRDefault="007758CC" w:rsidP="009A4FEC">
            <w:pPr>
              <w:pStyle w:val="NoSpacing"/>
              <w:ind w:left="25" w:right="-108"/>
              <w:rPr>
                <w:rFonts w:ascii="Arial" w:hAnsi="Arial" w:cs="Arial"/>
              </w:rPr>
            </w:pPr>
          </w:p>
          <w:p w14:paraId="3EF3B573" w14:textId="77777777" w:rsidR="007758CC" w:rsidRDefault="007758CC" w:rsidP="009A4FEC">
            <w:pPr>
              <w:pStyle w:val="NoSpacing"/>
              <w:ind w:left="25" w:right="-108"/>
              <w:rPr>
                <w:rFonts w:ascii="Arial" w:hAnsi="Arial" w:cs="Arial"/>
              </w:rPr>
            </w:pPr>
          </w:p>
          <w:p w14:paraId="2684E528" w14:textId="77777777" w:rsidR="007758CC" w:rsidRDefault="007758CC" w:rsidP="009A4FEC">
            <w:pPr>
              <w:pStyle w:val="NoSpacing"/>
              <w:ind w:left="25" w:right="-108"/>
              <w:rPr>
                <w:rFonts w:ascii="Arial" w:hAnsi="Arial" w:cs="Arial"/>
              </w:rPr>
            </w:pPr>
          </w:p>
          <w:p w14:paraId="5357E3FB" w14:textId="77777777" w:rsidR="007758CC" w:rsidRDefault="007758CC" w:rsidP="009A4FEC">
            <w:pPr>
              <w:pStyle w:val="NoSpacing"/>
              <w:ind w:left="25" w:right="-108"/>
              <w:rPr>
                <w:rFonts w:ascii="Arial" w:hAnsi="Arial" w:cs="Arial"/>
              </w:rPr>
            </w:pPr>
          </w:p>
          <w:p w14:paraId="6DD1F3B7" w14:textId="77777777" w:rsidR="007758CC" w:rsidRDefault="007758CC" w:rsidP="009A4FEC">
            <w:pPr>
              <w:pStyle w:val="NoSpacing"/>
              <w:ind w:left="25" w:right="-108"/>
              <w:rPr>
                <w:rFonts w:ascii="Arial" w:hAnsi="Arial" w:cs="Arial"/>
              </w:rPr>
            </w:pPr>
          </w:p>
          <w:p w14:paraId="2A7FA406" w14:textId="77777777" w:rsidR="007758CC" w:rsidRDefault="007758CC" w:rsidP="009A4FEC">
            <w:pPr>
              <w:pStyle w:val="NoSpacing"/>
              <w:ind w:left="25" w:right="-108"/>
              <w:rPr>
                <w:rFonts w:ascii="Arial" w:hAnsi="Arial" w:cs="Arial"/>
              </w:rPr>
            </w:pPr>
          </w:p>
          <w:p w14:paraId="7DC44D6C" w14:textId="77777777" w:rsidR="007758CC" w:rsidRDefault="007758CC" w:rsidP="009A4FEC">
            <w:pPr>
              <w:pStyle w:val="NoSpacing"/>
              <w:ind w:left="25" w:right="-108"/>
              <w:rPr>
                <w:rFonts w:ascii="Arial" w:hAnsi="Arial" w:cs="Arial"/>
              </w:rPr>
            </w:pPr>
          </w:p>
          <w:p w14:paraId="6EDB20DE" w14:textId="77777777" w:rsidR="007758CC" w:rsidRDefault="007758CC" w:rsidP="009A4FEC">
            <w:pPr>
              <w:pStyle w:val="NoSpacing"/>
              <w:ind w:left="25" w:right="-108"/>
              <w:rPr>
                <w:rFonts w:ascii="Arial" w:hAnsi="Arial" w:cs="Arial"/>
              </w:rPr>
            </w:pPr>
          </w:p>
          <w:p w14:paraId="6788CF92" w14:textId="77777777" w:rsidR="007758CC" w:rsidRDefault="007758CC" w:rsidP="009A4FEC">
            <w:pPr>
              <w:pStyle w:val="NoSpacing"/>
              <w:ind w:left="25" w:right="-108"/>
              <w:rPr>
                <w:rFonts w:ascii="Arial" w:hAnsi="Arial" w:cs="Arial"/>
              </w:rPr>
            </w:pPr>
          </w:p>
          <w:p w14:paraId="068FF5AD" w14:textId="77777777" w:rsidR="007758CC" w:rsidRDefault="007758CC" w:rsidP="009A4FEC">
            <w:pPr>
              <w:pStyle w:val="NoSpacing"/>
              <w:ind w:left="25" w:right="-108"/>
              <w:rPr>
                <w:rFonts w:ascii="Arial" w:hAnsi="Arial" w:cs="Arial"/>
              </w:rPr>
            </w:pPr>
          </w:p>
          <w:p w14:paraId="5BD094F5" w14:textId="77777777" w:rsidR="007758CC" w:rsidRDefault="007758CC" w:rsidP="009A4FEC">
            <w:pPr>
              <w:pStyle w:val="NoSpacing"/>
              <w:ind w:left="25" w:right="-108"/>
              <w:rPr>
                <w:rFonts w:ascii="Arial" w:hAnsi="Arial" w:cs="Arial"/>
              </w:rPr>
            </w:pPr>
          </w:p>
          <w:p w14:paraId="5C483E15" w14:textId="77777777" w:rsidR="007758CC" w:rsidRDefault="007758CC" w:rsidP="009A4FEC">
            <w:pPr>
              <w:pStyle w:val="NoSpacing"/>
              <w:ind w:left="25" w:right="-108"/>
              <w:rPr>
                <w:rFonts w:ascii="Arial" w:hAnsi="Arial" w:cs="Arial"/>
              </w:rPr>
            </w:pPr>
          </w:p>
          <w:p w14:paraId="5A8288C3" w14:textId="77777777" w:rsidR="007758CC" w:rsidRDefault="007758CC" w:rsidP="009A4FEC">
            <w:pPr>
              <w:pStyle w:val="NoSpacing"/>
              <w:ind w:left="25" w:right="-108"/>
              <w:rPr>
                <w:rFonts w:ascii="Arial" w:hAnsi="Arial" w:cs="Arial"/>
              </w:rPr>
            </w:pPr>
          </w:p>
          <w:p w14:paraId="5CC59893" w14:textId="77777777" w:rsidR="002540A8" w:rsidRDefault="002540A8" w:rsidP="009A4FEC">
            <w:pPr>
              <w:pStyle w:val="NoSpacing"/>
              <w:ind w:left="25" w:right="-108"/>
              <w:rPr>
                <w:rFonts w:ascii="Arial" w:hAnsi="Arial" w:cs="Arial"/>
              </w:rPr>
            </w:pPr>
          </w:p>
          <w:p w14:paraId="573B91E7" w14:textId="77777777" w:rsidR="0086238C" w:rsidRDefault="0086238C" w:rsidP="00BC7B11">
            <w:pPr>
              <w:pStyle w:val="NoSpacing"/>
              <w:ind w:right="-108"/>
              <w:rPr>
                <w:rFonts w:ascii="Arial" w:hAnsi="Arial" w:cs="Arial"/>
              </w:rPr>
            </w:pPr>
          </w:p>
          <w:p w14:paraId="235924FC" w14:textId="77777777" w:rsidR="007758CC" w:rsidRPr="00000A5C" w:rsidRDefault="00A24BD9" w:rsidP="009A4FEC">
            <w:pPr>
              <w:pStyle w:val="NoSpacing"/>
              <w:ind w:left="25" w:right="-108"/>
              <w:rPr>
                <w:rFonts w:ascii="Arial" w:hAnsi="Arial" w:cs="Arial"/>
              </w:rPr>
            </w:pPr>
            <w:r w:rsidRPr="00A24BD9">
              <w:rPr>
                <w:rFonts w:ascii="Arial" w:hAnsi="Arial" w:cs="Arial"/>
              </w:rPr>
              <w:t>Partially</w:t>
            </w:r>
            <w:r w:rsidR="007C77CD" w:rsidRPr="00A24BD9">
              <w:rPr>
                <w:rFonts w:ascii="Arial" w:hAnsi="Arial" w:cs="Arial"/>
              </w:rPr>
              <w:t xml:space="preserve"> </w:t>
            </w:r>
            <w:r w:rsidR="007758CC" w:rsidRPr="00A24BD9">
              <w:rPr>
                <w:rFonts w:ascii="Arial" w:hAnsi="Arial" w:cs="Arial"/>
              </w:rPr>
              <w:t>Implemented</w:t>
            </w:r>
            <w:r w:rsidR="00715C9C" w:rsidRPr="00A24BD9">
              <w:rPr>
                <w:rFonts w:ascii="Arial" w:hAnsi="Arial" w:cs="Arial"/>
              </w:rPr>
              <w:t>.</w:t>
            </w:r>
          </w:p>
          <w:p w14:paraId="2DEC97C3" w14:textId="77777777" w:rsidR="007758CC" w:rsidRPr="00000A5C" w:rsidRDefault="007758CC" w:rsidP="009A4FEC">
            <w:pPr>
              <w:pStyle w:val="NoSpacing"/>
              <w:ind w:left="25" w:right="-108"/>
              <w:rPr>
                <w:rFonts w:ascii="Arial" w:hAnsi="Arial" w:cs="Arial"/>
              </w:rPr>
            </w:pPr>
          </w:p>
          <w:p w14:paraId="6886E0DD" w14:textId="7E18A7AA" w:rsidR="007758CC" w:rsidRPr="00000A5C" w:rsidRDefault="007758CC" w:rsidP="009A4FEC">
            <w:pPr>
              <w:pStyle w:val="NoSpacing"/>
              <w:ind w:left="25" w:right="-108"/>
              <w:rPr>
                <w:rFonts w:ascii="Arial" w:hAnsi="Arial" w:cs="Arial"/>
              </w:rPr>
            </w:pPr>
            <w:r w:rsidRPr="00000A5C">
              <w:rPr>
                <w:rFonts w:ascii="Arial" w:hAnsi="Arial" w:cs="Arial"/>
              </w:rPr>
              <w:t>Negotiations with</w:t>
            </w:r>
            <w:r w:rsidR="00191149">
              <w:rPr>
                <w:rFonts w:ascii="Arial" w:hAnsi="Arial" w:cs="Arial"/>
              </w:rPr>
              <w:t xml:space="preserve"> the</w:t>
            </w:r>
            <w:r w:rsidRPr="00000A5C">
              <w:rPr>
                <w:rFonts w:ascii="Arial" w:hAnsi="Arial" w:cs="Arial"/>
              </w:rPr>
              <w:t xml:space="preserve"> DENR is still on</w:t>
            </w:r>
            <w:r w:rsidR="005508A4">
              <w:rPr>
                <w:rFonts w:ascii="Arial" w:hAnsi="Arial" w:cs="Arial"/>
              </w:rPr>
              <w:t>-</w:t>
            </w:r>
            <w:r w:rsidRPr="00000A5C">
              <w:rPr>
                <w:rFonts w:ascii="Arial" w:hAnsi="Arial" w:cs="Arial"/>
              </w:rPr>
              <w:t>going.</w:t>
            </w:r>
          </w:p>
          <w:p w14:paraId="196D7400" w14:textId="77777777" w:rsidR="007758CC" w:rsidRPr="00000A5C" w:rsidRDefault="007758CC" w:rsidP="009A4FEC">
            <w:pPr>
              <w:pStyle w:val="NoSpacing"/>
              <w:ind w:left="25" w:right="-108"/>
              <w:rPr>
                <w:rFonts w:ascii="Arial" w:hAnsi="Arial" w:cs="Arial"/>
              </w:rPr>
            </w:pPr>
          </w:p>
          <w:p w14:paraId="1707E531" w14:textId="77777777" w:rsidR="007758CC" w:rsidRDefault="007758CC" w:rsidP="009A4FEC">
            <w:pPr>
              <w:pStyle w:val="NoSpacing"/>
              <w:ind w:left="25" w:right="-108"/>
              <w:rPr>
                <w:rFonts w:ascii="Arial" w:hAnsi="Arial" w:cs="Arial"/>
              </w:rPr>
            </w:pPr>
          </w:p>
          <w:p w14:paraId="24F03D54" w14:textId="77777777" w:rsidR="007758CC" w:rsidRDefault="007758CC" w:rsidP="009A4FEC">
            <w:pPr>
              <w:pStyle w:val="NoSpacing"/>
              <w:ind w:left="25" w:right="-108"/>
              <w:rPr>
                <w:rFonts w:ascii="Arial" w:hAnsi="Arial" w:cs="Arial"/>
              </w:rPr>
            </w:pPr>
          </w:p>
          <w:p w14:paraId="2F6D7FA8" w14:textId="77777777" w:rsidR="00AE683B" w:rsidRPr="00000A5C" w:rsidRDefault="00AE683B" w:rsidP="009A4FEC">
            <w:pPr>
              <w:pStyle w:val="NoSpacing"/>
              <w:ind w:left="25" w:right="-108"/>
              <w:rPr>
                <w:rFonts w:ascii="Arial" w:hAnsi="Arial" w:cs="Arial"/>
              </w:rPr>
            </w:pPr>
          </w:p>
          <w:p w14:paraId="16C71618" w14:textId="77777777" w:rsidR="007758CC" w:rsidRPr="00000A5C" w:rsidRDefault="00A24BD9" w:rsidP="009A4FEC">
            <w:pPr>
              <w:pStyle w:val="NoSpacing"/>
              <w:ind w:left="25" w:right="-108"/>
              <w:rPr>
                <w:rFonts w:ascii="Arial" w:hAnsi="Arial" w:cs="Arial"/>
              </w:rPr>
            </w:pPr>
            <w:r>
              <w:rPr>
                <w:rFonts w:ascii="Arial" w:hAnsi="Arial" w:cs="Arial"/>
              </w:rPr>
              <w:t>Partially</w:t>
            </w:r>
            <w:r w:rsidR="007C77CD" w:rsidRPr="00A24BD9">
              <w:rPr>
                <w:rFonts w:ascii="Arial" w:hAnsi="Arial" w:cs="Arial"/>
              </w:rPr>
              <w:t xml:space="preserve"> </w:t>
            </w:r>
            <w:r w:rsidR="007758CC" w:rsidRPr="00A24BD9">
              <w:rPr>
                <w:rFonts w:ascii="Arial" w:hAnsi="Arial" w:cs="Arial"/>
              </w:rPr>
              <w:t>Implemented</w:t>
            </w:r>
            <w:r w:rsidR="009121A1" w:rsidRPr="00A24BD9">
              <w:rPr>
                <w:rFonts w:ascii="Arial" w:hAnsi="Arial" w:cs="Arial"/>
              </w:rPr>
              <w:t>.</w:t>
            </w:r>
          </w:p>
          <w:p w14:paraId="6EA743D3" w14:textId="77777777" w:rsidR="007758CC" w:rsidRPr="00000A5C" w:rsidRDefault="007758CC" w:rsidP="009A4FEC">
            <w:pPr>
              <w:pStyle w:val="NoSpacing"/>
              <w:ind w:left="25" w:right="-108"/>
              <w:rPr>
                <w:rFonts w:ascii="Arial" w:hAnsi="Arial" w:cs="Arial"/>
              </w:rPr>
            </w:pPr>
          </w:p>
          <w:p w14:paraId="21E1DCD5" w14:textId="3C45434C" w:rsidR="007758CC" w:rsidRPr="00000A5C" w:rsidRDefault="007758CC" w:rsidP="009A4FEC">
            <w:pPr>
              <w:pStyle w:val="NoSpacing"/>
              <w:ind w:left="25" w:right="-108"/>
              <w:rPr>
                <w:rFonts w:ascii="Arial" w:hAnsi="Arial" w:cs="Arial"/>
              </w:rPr>
            </w:pPr>
            <w:r w:rsidRPr="00000A5C">
              <w:rPr>
                <w:rFonts w:ascii="Arial" w:hAnsi="Arial" w:cs="Arial"/>
              </w:rPr>
              <w:t>Due to the problems encountered by the KPP Project, the Board has decided to suspend the said project to constitute</w:t>
            </w:r>
            <w:r w:rsidR="002B669A">
              <w:rPr>
                <w:rFonts w:ascii="Arial" w:hAnsi="Arial" w:cs="Arial"/>
              </w:rPr>
              <w:t xml:space="preserve"> </w:t>
            </w:r>
            <w:r w:rsidRPr="00000A5C">
              <w:rPr>
                <w:rFonts w:ascii="Arial" w:hAnsi="Arial" w:cs="Arial"/>
              </w:rPr>
              <w:t>proper planning to avoid future problems.</w:t>
            </w:r>
          </w:p>
          <w:p w14:paraId="70E18F7F" w14:textId="77777777" w:rsidR="007758CC" w:rsidRPr="00000A5C" w:rsidRDefault="007758CC" w:rsidP="009A4FEC">
            <w:pPr>
              <w:pStyle w:val="NoSpacing"/>
              <w:ind w:left="25" w:right="-108"/>
              <w:rPr>
                <w:rFonts w:ascii="Arial" w:hAnsi="Arial" w:cs="Arial"/>
              </w:rPr>
            </w:pPr>
          </w:p>
        </w:tc>
      </w:tr>
      <w:tr w:rsidR="007758CC" w:rsidRPr="0035547E" w14:paraId="7D3C4E77" w14:textId="77777777" w:rsidTr="00C24152">
        <w:trPr>
          <w:trHeight w:val="64"/>
        </w:trPr>
        <w:tc>
          <w:tcPr>
            <w:tcW w:w="5199" w:type="dxa"/>
          </w:tcPr>
          <w:p w14:paraId="5ABBC400" w14:textId="77777777" w:rsidR="001D6CCE" w:rsidRDefault="001D6CCE" w:rsidP="00AE683B">
            <w:pPr>
              <w:pStyle w:val="NoSpacing"/>
              <w:ind w:left="-105"/>
              <w:rPr>
                <w:rFonts w:ascii="Arial" w:hAnsi="Arial" w:cs="Arial"/>
                <w:i/>
              </w:rPr>
            </w:pPr>
          </w:p>
          <w:p w14:paraId="3EFF5535" w14:textId="77777777" w:rsidR="001D6CCE" w:rsidRDefault="001D6CCE" w:rsidP="00AE683B">
            <w:pPr>
              <w:pStyle w:val="NoSpacing"/>
              <w:ind w:left="-105"/>
              <w:rPr>
                <w:rFonts w:ascii="Arial" w:hAnsi="Arial" w:cs="Arial"/>
                <w:i/>
              </w:rPr>
            </w:pPr>
          </w:p>
          <w:p w14:paraId="51AFEE14" w14:textId="77777777" w:rsidR="001D6CCE" w:rsidRDefault="001D6CCE" w:rsidP="00AE683B">
            <w:pPr>
              <w:pStyle w:val="NoSpacing"/>
              <w:ind w:left="-105"/>
              <w:rPr>
                <w:rFonts w:ascii="Arial" w:hAnsi="Arial" w:cs="Arial"/>
                <w:i/>
              </w:rPr>
            </w:pPr>
          </w:p>
          <w:p w14:paraId="0FE0E70C" w14:textId="2B78BB23" w:rsidR="007758CC" w:rsidRDefault="007758CC" w:rsidP="00AE683B">
            <w:pPr>
              <w:pStyle w:val="NoSpacing"/>
              <w:ind w:left="-105"/>
              <w:rPr>
                <w:rFonts w:ascii="Arial" w:hAnsi="Arial" w:cs="Arial"/>
                <w:i/>
              </w:rPr>
            </w:pPr>
            <w:r w:rsidRPr="00000A5C">
              <w:rPr>
                <w:rFonts w:ascii="Arial" w:hAnsi="Arial" w:cs="Arial"/>
                <w:i/>
              </w:rPr>
              <w:t>TOBACCO DUST PRODUCTION AGRIBUSINESS PROJECT (TDPAP)</w:t>
            </w:r>
          </w:p>
          <w:p w14:paraId="420C7673" w14:textId="77777777" w:rsidR="002540A8" w:rsidRPr="00000A5C" w:rsidRDefault="002540A8" w:rsidP="00AE683B">
            <w:pPr>
              <w:pStyle w:val="NoSpacing"/>
              <w:ind w:left="-105"/>
              <w:rPr>
                <w:rFonts w:ascii="Arial" w:hAnsi="Arial" w:cs="Arial"/>
                <w:i/>
              </w:rPr>
            </w:pPr>
          </w:p>
          <w:p w14:paraId="7328F15E" w14:textId="48337F3E" w:rsidR="007758CC" w:rsidRPr="00000A5C" w:rsidRDefault="007758CC" w:rsidP="00204114">
            <w:pPr>
              <w:pStyle w:val="NoSpacing"/>
              <w:numPr>
                <w:ilvl w:val="0"/>
                <w:numId w:val="21"/>
              </w:numPr>
              <w:tabs>
                <w:tab w:val="left" w:pos="360"/>
              </w:tabs>
              <w:spacing w:line="240" w:lineRule="auto"/>
              <w:ind w:left="-120" w:firstLine="0"/>
              <w:rPr>
                <w:rFonts w:ascii="Arial" w:hAnsi="Arial" w:cs="Arial"/>
              </w:rPr>
            </w:pPr>
            <w:r w:rsidRPr="00000A5C">
              <w:rPr>
                <w:rFonts w:ascii="Arial" w:hAnsi="Arial" w:cs="Arial"/>
              </w:rPr>
              <w:t>The TDPAP located in Sto. Tomas, La Union incurred a total loss of</w:t>
            </w:r>
            <w:r w:rsidR="002B669A">
              <w:rPr>
                <w:rFonts w:ascii="Arial" w:hAnsi="Arial" w:cs="Arial"/>
              </w:rPr>
              <w:t xml:space="preserve"> </w:t>
            </w:r>
            <w:r w:rsidRPr="00000A5C">
              <w:rPr>
                <w:rFonts w:ascii="Arial" w:hAnsi="Arial" w:cs="Arial"/>
              </w:rPr>
              <w:t>P32.883 million since it started operations in 2009 due to poor planning and execution thus, casting doubt on the ability of NTA to pursue the objective of the project. In addition, the Employees’ Quarter of TDPAP with a net book value of P0.879 million remained idle.</w:t>
            </w:r>
          </w:p>
          <w:p w14:paraId="04C089F4" w14:textId="77777777" w:rsidR="007758CC" w:rsidRDefault="007758CC" w:rsidP="00AE683B">
            <w:pPr>
              <w:pStyle w:val="NoSpacing"/>
              <w:ind w:left="-105"/>
              <w:rPr>
                <w:rFonts w:ascii="Arial" w:hAnsi="Arial" w:cs="Arial"/>
                <w:u w:val="single"/>
              </w:rPr>
            </w:pPr>
          </w:p>
          <w:p w14:paraId="69791135" w14:textId="77777777" w:rsidR="007758CC" w:rsidRPr="006628AE" w:rsidRDefault="007758CC" w:rsidP="00AE683B">
            <w:pPr>
              <w:pStyle w:val="NoSpacing"/>
              <w:ind w:left="-105"/>
              <w:rPr>
                <w:rFonts w:ascii="Arial" w:hAnsi="Arial" w:cs="Arial"/>
              </w:rPr>
            </w:pPr>
            <w:r w:rsidRPr="00A754FB">
              <w:rPr>
                <w:rFonts w:ascii="Arial" w:hAnsi="Arial" w:cs="Arial"/>
              </w:rPr>
              <w:t>We re</w:t>
            </w:r>
            <w:r w:rsidR="002B6503">
              <w:rPr>
                <w:rFonts w:ascii="Arial" w:hAnsi="Arial" w:cs="Arial"/>
              </w:rPr>
              <w:t xml:space="preserve">iterated our recommendations </w:t>
            </w:r>
            <w:r w:rsidRPr="00A754FB">
              <w:rPr>
                <w:rFonts w:ascii="Arial" w:hAnsi="Arial" w:cs="Arial"/>
              </w:rPr>
              <w:t>that Management:</w:t>
            </w:r>
          </w:p>
          <w:p w14:paraId="6496079A" w14:textId="77777777" w:rsidR="007758CC" w:rsidRPr="00000A5C" w:rsidRDefault="007758CC" w:rsidP="00AE683B">
            <w:pPr>
              <w:pStyle w:val="NoSpacing"/>
              <w:ind w:left="-105"/>
              <w:rPr>
                <w:rFonts w:ascii="Arial" w:hAnsi="Arial" w:cs="Arial"/>
                <w:lang w:val="en-PH"/>
              </w:rPr>
            </w:pPr>
          </w:p>
          <w:p w14:paraId="6AAE879E" w14:textId="77777777" w:rsidR="007758CC" w:rsidRPr="00000A5C" w:rsidRDefault="007758CC" w:rsidP="00204114">
            <w:pPr>
              <w:pStyle w:val="NoSpacing"/>
              <w:numPr>
                <w:ilvl w:val="0"/>
                <w:numId w:val="43"/>
              </w:numPr>
              <w:tabs>
                <w:tab w:val="left" w:pos="324"/>
              </w:tabs>
              <w:ind w:left="-110" w:firstLine="0"/>
              <w:rPr>
                <w:rFonts w:ascii="Arial" w:hAnsi="Arial" w:cs="Arial"/>
                <w:lang w:val="en-PH"/>
              </w:rPr>
            </w:pPr>
            <w:r w:rsidRPr="00000A5C">
              <w:rPr>
                <w:rFonts w:ascii="Arial" w:hAnsi="Arial" w:cs="Arial"/>
                <w:lang w:val="en-PH"/>
              </w:rPr>
              <w:t>Develop alternative business option for the tobacco dust plant in the event that it will no longer pursue its operation such as offer for lease or disposal of the plant so as not to waste government funds and property; and</w:t>
            </w:r>
          </w:p>
          <w:p w14:paraId="4495AF16" w14:textId="45805A2A" w:rsidR="007758CC" w:rsidRDefault="007758CC" w:rsidP="00AE683B">
            <w:pPr>
              <w:pStyle w:val="NoSpacing"/>
              <w:ind w:left="-105"/>
              <w:rPr>
                <w:rFonts w:ascii="Arial" w:hAnsi="Arial" w:cs="Arial"/>
                <w:lang w:val="en-PH"/>
              </w:rPr>
            </w:pPr>
          </w:p>
          <w:p w14:paraId="3D6AAE0B" w14:textId="750FF480" w:rsidR="007758CC" w:rsidRDefault="007758CC" w:rsidP="00AE683B">
            <w:pPr>
              <w:pStyle w:val="NoSpacing"/>
              <w:ind w:left="-105"/>
              <w:rPr>
                <w:rFonts w:ascii="Arial" w:hAnsi="Arial" w:cs="Arial"/>
                <w:lang w:val="en-PH"/>
              </w:rPr>
            </w:pPr>
          </w:p>
          <w:p w14:paraId="0023D15C" w14:textId="77777777" w:rsidR="00BD7A77" w:rsidRDefault="00BD7A77" w:rsidP="00AE683B">
            <w:pPr>
              <w:pStyle w:val="NoSpacing"/>
              <w:ind w:left="-105"/>
              <w:rPr>
                <w:rFonts w:ascii="Arial" w:hAnsi="Arial" w:cs="Arial"/>
                <w:lang w:val="en-PH"/>
              </w:rPr>
            </w:pPr>
          </w:p>
          <w:p w14:paraId="68690EF4" w14:textId="77777777" w:rsidR="00A410CB" w:rsidRDefault="007758CC" w:rsidP="00204114">
            <w:pPr>
              <w:pStyle w:val="NoSpacing"/>
              <w:numPr>
                <w:ilvl w:val="0"/>
                <w:numId w:val="43"/>
              </w:numPr>
              <w:tabs>
                <w:tab w:val="left" w:pos="324"/>
              </w:tabs>
              <w:ind w:left="-110" w:firstLine="0"/>
              <w:rPr>
                <w:rFonts w:ascii="Arial" w:hAnsi="Arial" w:cs="Arial"/>
                <w:lang w:val="en-PH"/>
              </w:rPr>
            </w:pPr>
            <w:r w:rsidRPr="00000A5C">
              <w:rPr>
                <w:rFonts w:ascii="Arial" w:hAnsi="Arial" w:cs="Arial"/>
                <w:lang w:val="en-PH"/>
              </w:rPr>
              <w:t xml:space="preserve">Study prudently the status and possible utilization of the Employees’ Quarter of TDPAP and develop an alternative use for it so that economic value will be derived. </w:t>
            </w:r>
            <w:r w:rsidR="00DF2CD5">
              <w:rPr>
                <w:rFonts w:ascii="Arial" w:hAnsi="Arial" w:cs="Arial"/>
                <w:lang w:val="en-PH"/>
              </w:rPr>
              <w:t xml:space="preserve"> </w:t>
            </w:r>
            <w:r w:rsidRPr="00000A5C">
              <w:rPr>
                <w:rFonts w:ascii="Arial" w:hAnsi="Arial" w:cs="Arial"/>
                <w:lang w:val="en-PH"/>
              </w:rPr>
              <w:t>Moreover, assess the benefits that can be derived therefrom over the cost to prevent further wastage of funds.</w:t>
            </w:r>
          </w:p>
          <w:p w14:paraId="61D5A8A0" w14:textId="4D1D3E5E" w:rsidR="00445ED6" w:rsidRDefault="00445ED6" w:rsidP="00AE683B">
            <w:pPr>
              <w:pStyle w:val="NoSpacing"/>
              <w:tabs>
                <w:tab w:val="left" w:pos="348"/>
              </w:tabs>
              <w:ind w:left="-105"/>
              <w:rPr>
                <w:rFonts w:ascii="Arial" w:hAnsi="Arial" w:cs="Arial"/>
                <w:lang w:val="en-PH"/>
              </w:rPr>
            </w:pPr>
          </w:p>
          <w:p w14:paraId="75EE7B15" w14:textId="58F4C22C" w:rsidR="00204114" w:rsidRDefault="00204114" w:rsidP="00AE683B">
            <w:pPr>
              <w:pStyle w:val="NoSpacing"/>
              <w:tabs>
                <w:tab w:val="left" w:pos="348"/>
              </w:tabs>
              <w:ind w:left="-105"/>
              <w:rPr>
                <w:rFonts w:ascii="Arial" w:hAnsi="Arial" w:cs="Arial"/>
                <w:lang w:val="en-PH"/>
              </w:rPr>
            </w:pPr>
          </w:p>
          <w:p w14:paraId="7CA9954B" w14:textId="77777777" w:rsidR="006C0932" w:rsidRDefault="006C0932" w:rsidP="00C24152">
            <w:pPr>
              <w:pStyle w:val="NoSpacing"/>
              <w:tabs>
                <w:tab w:val="left" w:pos="348"/>
              </w:tabs>
              <w:rPr>
                <w:rFonts w:ascii="Arial" w:hAnsi="Arial" w:cs="Arial"/>
                <w:lang w:val="en-PH"/>
              </w:rPr>
            </w:pPr>
          </w:p>
          <w:p w14:paraId="5CB2E70D" w14:textId="77777777" w:rsidR="001918D4" w:rsidRDefault="001918D4" w:rsidP="00AE683B">
            <w:pPr>
              <w:pStyle w:val="NoSpacing"/>
              <w:ind w:left="-105"/>
              <w:rPr>
                <w:rFonts w:ascii="Arial" w:hAnsi="Arial" w:cs="Arial"/>
                <w:i/>
              </w:rPr>
            </w:pPr>
            <w:r w:rsidRPr="0042399A">
              <w:rPr>
                <w:rFonts w:ascii="Arial" w:hAnsi="Arial" w:cs="Arial"/>
                <w:i/>
              </w:rPr>
              <w:t>AGRIPINOY TOBACCO FARMERS’ PROCESSING PLANT AND TRADING CENTER AND FEED MILLING COMPLEX (NTA AgriPinoy)</w:t>
            </w:r>
          </w:p>
          <w:p w14:paraId="5656D143" w14:textId="77777777" w:rsidR="001918D4" w:rsidRDefault="001918D4" w:rsidP="00AE683B">
            <w:pPr>
              <w:pStyle w:val="NoSpacing"/>
              <w:ind w:left="-105"/>
              <w:rPr>
                <w:rFonts w:ascii="Arial" w:hAnsi="Arial" w:cs="Arial"/>
                <w:i/>
              </w:rPr>
            </w:pPr>
          </w:p>
          <w:p w14:paraId="5BA6D4A0" w14:textId="77777777" w:rsidR="00445ED6" w:rsidRPr="00445ED6" w:rsidRDefault="00445ED6" w:rsidP="00DF2CD5">
            <w:pPr>
              <w:pStyle w:val="NoSpacing"/>
              <w:numPr>
                <w:ilvl w:val="0"/>
                <w:numId w:val="21"/>
              </w:numPr>
              <w:tabs>
                <w:tab w:val="left" w:pos="358"/>
              </w:tabs>
              <w:spacing w:line="240" w:lineRule="auto"/>
              <w:ind w:left="-120" w:firstLine="0"/>
              <w:rPr>
                <w:rFonts w:ascii="Arial" w:hAnsi="Arial" w:cs="Arial"/>
                <w:bCs/>
              </w:rPr>
            </w:pPr>
            <w:r w:rsidRPr="00445ED6">
              <w:rPr>
                <w:rFonts w:ascii="Arial" w:hAnsi="Arial" w:cs="Arial"/>
                <w:bCs/>
              </w:rPr>
              <w:t>AgriPinoy Milling Complex worth P83.075 million was not utilized for its intended purpose resulting in wastage of government funds.</w:t>
            </w:r>
          </w:p>
          <w:p w14:paraId="2A37DD6F" w14:textId="7D6AFD08" w:rsidR="00445ED6" w:rsidRDefault="00445ED6" w:rsidP="00AE683B">
            <w:pPr>
              <w:pStyle w:val="ListParagraph"/>
              <w:spacing w:after="100" w:afterAutospacing="1" w:line="240" w:lineRule="auto"/>
              <w:ind w:left="-105"/>
              <w:rPr>
                <w:rFonts w:ascii="Arial" w:hAnsi="Arial" w:cs="Arial"/>
                <w:bCs/>
              </w:rPr>
            </w:pPr>
          </w:p>
          <w:p w14:paraId="3C36C6F6" w14:textId="77777777" w:rsidR="00050649" w:rsidRPr="00826044" w:rsidRDefault="00445ED6" w:rsidP="00AE683B">
            <w:pPr>
              <w:pStyle w:val="ListParagraph"/>
              <w:tabs>
                <w:tab w:val="left" w:pos="720"/>
              </w:tabs>
              <w:spacing w:after="100" w:afterAutospacing="1" w:line="240" w:lineRule="auto"/>
              <w:ind w:left="-105"/>
              <w:rPr>
                <w:rFonts w:ascii="Arial" w:hAnsi="Arial" w:cs="Arial"/>
                <w:bCs/>
              </w:rPr>
            </w:pPr>
            <w:r w:rsidRPr="00826044">
              <w:rPr>
                <w:rFonts w:ascii="Arial" w:hAnsi="Arial" w:cs="Arial"/>
                <w:bCs/>
              </w:rPr>
              <w:t>We recommended that Management</w:t>
            </w:r>
            <w:r w:rsidR="00AE683B">
              <w:rPr>
                <w:rFonts w:ascii="Arial" w:hAnsi="Arial" w:cs="Arial"/>
                <w:bCs/>
              </w:rPr>
              <w:t>:</w:t>
            </w:r>
          </w:p>
          <w:p w14:paraId="1C7BAAD4" w14:textId="77777777" w:rsidR="00445ED6" w:rsidRPr="00826044" w:rsidRDefault="00445ED6" w:rsidP="00AE683B">
            <w:pPr>
              <w:pStyle w:val="NoSpacing"/>
              <w:numPr>
                <w:ilvl w:val="0"/>
                <w:numId w:val="20"/>
              </w:numPr>
              <w:tabs>
                <w:tab w:val="left" w:pos="357"/>
              </w:tabs>
              <w:ind w:left="-105" w:firstLine="0"/>
              <w:rPr>
                <w:rFonts w:ascii="Arial" w:hAnsi="Arial" w:cs="Arial"/>
                <w:bCs/>
              </w:rPr>
            </w:pPr>
            <w:r w:rsidRPr="00826044">
              <w:rPr>
                <w:rFonts w:ascii="Arial" w:hAnsi="Arial" w:cs="Arial"/>
                <w:bCs/>
              </w:rPr>
              <w:t>Conduct machine testing to reassess the performance of machineries and equipment;</w:t>
            </w:r>
            <w:r w:rsidR="008D6869">
              <w:rPr>
                <w:rFonts w:ascii="Arial" w:hAnsi="Arial" w:cs="Arial"/>
                <w:bCs/>
              </w:rPr>
              <w:t xml:space="preserve"> and</w:t>
            </w:r>
          </w:p>
          <w:p w14:paraId="7E226D0D" w14:textId="77777777" w:rsidR="00191149" w:rsidRPr="00826044" w:rsidRDefault="00191149" w:rsidP="00C24152">
            <w:pPr>
              <w:pStyle w:val="NoSpacing"/>
              <w:tabs>
                <w:tab w:val="left" w:pos="357"/>
              </w:tabs>
              <w:rPr>
                <w:rFonts w:ascii="Arial" w:hAnsi="Arial" w:cs="Arial"/>
                <w:bCs/>
              </w:rPr>
            </w:pPr>
          </w:p>
          <w:p w14:paraId="4EF29D6A" w14:textId="77777777" w:rsidR="00634088" w:rsidRDefault="00445ED6" w:rsidP="008D6869">
            <w:pPr>
              <w:pStyle w:val="NoSpacing"/>
              <w:numPr>
                <w:ilvl w:val="0"/>
                <w:numId w:val="20"/>
              </w:numPr>
              <w:tabs>
                <w:tab w:val="left" w:pos="357"/>
              </w:tabs>
              <w:ind w:left="-105" w:firstLine="0"/>
              <w:rPr>
                <w:rFonts w:ascii="Arial" w:hAnsi="Arial" w:cs="Arial"/>
                <w:bCs/>
              </w:rPr>
            </w:pPr>
            <w:r w:rsidRPr="00826044">
              <w:rPr>
                <w:rFonts w:ascii="Arial" w:hAnsi="Arial" w:cs="Arial"/>
                <w:bCs/>
              </w:rPr>
              <w:t>Engage the services of a licensed appraiser to determine the current value of the machineries and equipment and be able to assess possible impairment loss</w:t>
            </w:r>
            <w:r w:rsidR="008D6869">
              <w:rPr>
                <w:rFonts w:ascii="Arial" w:hAnsi="Arial" w:cs="Arial"/>
                <w:bCs/>
              </w:rPr>
              <w:t>.</w:t>
            </w:r>
          </w:p>
          <w:p w14:paraId="09BE8602" w14:textId="1A6C7C8B" w:rsidR="005102E8" w:rsidRPr="00634088" w:rsidRDefault="005102E8" w:rsidP="00C24152">
            <w:pPr>
              <w:pStyle w:val="NoSpacing"/>
              <w:tabs>
                <w:tab w:val="left" w:pos="357"/>
              </w:tabs>
              <w:ind w:left="-105"/>
              <w:rPr>
                <w:rFonts w:ascii="Arial" w:hAnsi="Arial" w:cs="Arial"/>
                <w:bCs/>
              </w:rPr>
            </w:pPr>
          </w:p>
        </w:tc>
        <w:tc>
          <w:tcPr>
            <w:tcW w:w="3801" w:type="dxa"/>
          </w:tcPr>
          <w:p w14:paraId="6D27BEFC" w14:textId="77777777" w:rsidR="007758CC" w:rsidRPr="00A14272" w:rsidRDefault="007758CC" w:rsidP="009A4FEC">
            <w:pPr>
              <w:pStyle w:val="NoSpacing"/>
              <w:ind w:left="25" w:right="-108"/>
              <w:rPr>
                <w:rFonts w:ascii="Arial" w:hAnsi="Arial" w:cs="Arial"/>
              </w:rPr>
            </w:pPr>
          </w:p>
          <w:p w14:paraId="28D6B598" w14:textId="77777777" w:rsidR="007758CC" w:rsidRPr="00A14272" w:rsidRDefault="007758CC" w:rsidP="009A4FEC">
            <w:pPr>
              <w:pStyle w:val="NoSpacing"/>
              <w:ind w:left="25" w:right="-108"/>
              <w:rPr>
                <w:rFonts w:ascii="Arial" w:hAnsi="Arial" w:cs="Arial"/>
              </w:rPr>
            </w:pPr>
          </w:p>
          <w:p w14:paraId="50015F5C" w14:textId="77777777" w:rsidR="007758CC" w:rsidRPr="00A14272" w:rsidRDefault="007758CC" w:rsidP="009A4FEC">
            <w:pPr>
              <w:pStyle w:val="NoSpacing"/>
              <w:ind w:left="25" w:right="-108"/>
              <w:rPr>
                <w:rFonts w:ascii="Arial" w:hAnsi="Arial" w:cs="Arial"/>
              </w:rPr>
            </w:pPr>
          </w:p>
          <w:p w14:paraId="5FB42FC6" w14:textId="77777777" w:rsidR="007758CC" w:rsidRPr="00A14272" w:rsidRDefault="007758CC" w:rsidP="009A4FEC">
            <w:pPr>
              <w:pStyle w:val="NoSpacing"/>
              <w:ind w:left="25" w:right="-108"/>
              <w:rPr>
                <w:rFonts w:ascii="Arial" w:hAnsi="Arial" w:cs="Arial"/>
              </w:rPr>
            </w:pPr>
          </w:p>
          <w:p w14:paraId="1E99B997" w14:textId="77777777" w:rsidR="002B6503" w:rsidRPr="00A14272" w:rsidRDefault="002B6503" w:rsidP="009A4FEC">
            <w:pPr>
              <w:pStyle w:val="NoSpacing"/>
              <w:ind w:left="25" w:right="-108"/>
              <w:rPr>
                <w:rFonts w:ascii="Arial" w:hAnsi="Arial" w:cs="Arial"/>
              </w:rPr>
            </w:pPr>
          </w:p>
          <w:p w14:paraId="0A719699" w14:textId="77777777" w:rsidR="002B6503" w:rsidRPr="00A14272" w:rsidRDefault="002B6503" w:rsidP="009A4FEC">
            <w:pPr>
              <w:pStyle w:val="NoSpacing"/>
              <w:ind w:left="25" w:right="-108"/>
              <w:rPr>
                <w:rFonts w:ascii="Arial" w:hAnsi="Arial" w:cs="Arial"/>
              </w:rPr>
            </w:pPr>
          </w:p>
          <w:p w14:paraId="42AB1CA9" w14:textId="77777777" w:rsidR="007758CC" w:rsidRPr="00A14272" w:rsidRDefault="007758CC" w:rsidP="009A4FEC">
            <w:pPr>
              <w:pStyle w:val="NoSpacing"/>
              <w:ind w:left="25" w:right="-108"/>
              <w:rPr>
                <w:rFonts w:ascii="Arial" w:hAnsi="Arial" w:cs="Arial"/>
              </w:rPr>
            </w:pPr>
          </w:p>
          <w:p w14:paraId="39775843" w14:textId="77777777" w:rsidR="007758CC" w:rsidRPr="00A14272" w:rsidRDefault="007758CC" w:rsidP="009A4FEC">
            <w:pPr>
              <w:pStyle w:val="NoSpacing"/>
              <w:ind w:left="25" w:right="-108"/>
              <w:rPr>
                <w:rFonts w:ascii="Arial" w:hAnsi="Arial" w:cs="Arial"/>
              </w:rPr>
            </w:pPr>
          </w:p>
          <w:p w14:paraId="3281C627" w14:textId="77777777" w:rsidR="007758CC" w:rsidRPr="00A14272" w:rsidRDefault="007758CC" w:rsidP="009A4FEC">
            <w:pPr>
              <w:pStyle w:val="NoSpacing"/>
              <w:ind w:left="25" w:right="-108"/>
              <w:rPr>
                <w:rFonts w:ascii="Arial" w:hAnsi="Arial" w:cs="Arial"/>
              </w:rPr>
            </w:pPr>
          </w:p>
          <w:p w14:paraId="379B8868" w14:textId="77777777" w:rsidR="007758CC" w:rsidRPr="00A14272" w:rsidRDefault="007758CC" w:rsidP="009A4FEC">
            <w:pPr>
              <w:pStyle w:val="NoSpacing"/>
              <w:ind w:left="25" w:right="-108"/>
              <w:rPr>
                <w:rFonts w:ascii="Arial" w:hAnsi="Arial" w:cs="Arial"/>
              </w:rPr>
            </w:pPr>
          </w:p>
          <w:p w14:paraId="64CCC722" w14:textId="77777777" w:rsidR="002B6503" w:rsidRPr="00A14272" w:rsidRDefault="002B6503" w:rsidP="009A4FEC">
            <w:pPr>
              <w:pStyle w:val="NoSpacing"/>
              <w:ind w:left="25" w:right="-108"/>
              <w:rPr>
                <w:rFonts w:ascii="Arial" w:hAnsi="Arial" w:cs="Arial"/>
              </w:rPr>
            </w:pPr>
          </w:p>
          <w:p w14:paraId="1F005CE3" w14:textId="6624BF0A" w:rsidR="007758CC" w:rsidRDefault="007758CC" w:rsidP="009A4FEC">
            <w:pPr>
              <w:pStyle w:val="NoSpacing"/>
              <w:ind w:left="25" w:right="-108"/>
              <w:rPr>
                <w:rFonts w:ascii="Arial" w:hAnsi="Arial" w:cs="Arial"/>
              </w:rPr>
            </w:pPr>
          </w:p>
          <w:p w14:paraId="2AC1CB02" w14:textId="78BF6C91" w:rsidR="001D6CCE" w:rsidRDefault="001D6CCE" w:rsidP="009A4FEC">
            <w:pPr>
              <w:pStyle w:val="NoSpacing"/>
              <w:ind w:left="25" w:right="-108"/>
              <w:rPr>
                <w:rFonts w:ascii="Arial" w:hAnsi="Arial" w:cs="Arial"/>
              </w:rPr>
            </w:pPr>
          </w:p>
          <w:p w14:paraId="62B4F920" w14:textId="7146C4FA" w:rsidR="00BD7A77" w:rsidRDefault="00BD7A77" w:rsidP="009A4FEC">
            <w:pPr>
              <w:pStyle w:val="NoSpacing"/>
              <w:ind w:left="25" w:right="-108"/>
              <w:rPr>
                <w:rFonts w:ascii="Arial" w:hAnsi="Arial" w:cs="Arial"/>
              </w:rPr>
            </w:pPr>
          </w:p>
          <w:p w14:paraId="42FFA45B" w14:textId="1BFD8044" w:rsidR="00BD7A77" w:rsidRDefault="00BD7A77" w:rsidP="009A4FEC">
            <w:pPr>
              <w:pStyle w:val="NoSpacing"/>
              <w:ind w:left="25" w:right="-108"/>
              <w:rPr>
                <w:rFonts w:ascii="Arial" w:hAnsi="Arial" w:cs="Arial"/>
              </w:rPr>
            </w:pPr>
          </w:p>
          <w:p w14:paraId="672E7C87" w14:textId="77777777" w:rsidR="00BD7A77" w:rsidRPr="00A14272" w:rsidRDefault="00BD7A77" w:rsidP="009A4FEC">
            <w:pPr>
              <w:pStyle w:val="NoSpacing"/>
              <w:ind w:left="25" w:right="-108"/>
              <w:rPr>
                <w:rFonts w:ascii="Arial" w:hAnsi="Arial" w:cs="Arial"/>
              </w:rPr>
            </w:pPr>
          </w:p>
          <w:p w14:paraId="6BF83BC4" w14:textId="77777777" w:rsidR="002540A8" w:rsidRPr="00A14272" w:rsidRDefault="002540A8" w:rsidP="009A4FEC">
            <w:pPr>
              <w:pStyle w:val="NoSpacing"/>
              <w:ind w:left="25" w:right="-108"/>
              <w:rPr>
                <w:rFonts w:ascii="Arial" w:hAnsi="Arial" w:cs="Arial"/>
              </w:rPr>
            </w:pPr>
          </w:p>
          <w:p w14:paraId="2D19BD19" w14:textId="77777777" w:rsidR="00444311" w:rsidRPr="00A14272" w:rsidRDefault="00444311" w:rsidP="009A4FEC">
            <w:pPr>
              <w:pStyle w:val="NoSpacing"/>
              <w:ind w:left="25" w:right="-108"/>
              <w:rPr>
                <w:rFonts w:ascii="Arial" w:hAnsi="Arial" w:cs="Arial"/>
              </w:rPr>
            </w:pPr>
          </w:p>
          <w:p w14:paraId="4F783B54" w14:textId="6509815A" w:rsidR="002B669A" w:rsidRPr="00A14272" w:rsidRDefault="00FA7521" w:rsidP="002B669A">
            <w:pPr>
              <w:pStyle w:val="NoSpacing"/>
              <w:spacing w:line="240" w:lineRule="auto"/>
              <w:ind w:right="-108"/>
              <w:rPr>
                <w:rFonts w:ascii="Arial" w:hAnsi="Arial" w:cs="Arial"/>
              </w:rPr>
            </w:pPr>
            <w:r w:rsidRPr="00C24152">
              <w:rPr>
                <w:rFonts w:ascii="Arial" w:hAnsi="Arial" w:cs="Arial"/>
              </w:rPr>
              <w:t>Partially Implemented.</w:t>
            </w:r>
            <w:r w:rsidRPr="00A14272">
              <w:rPr>
                <w:rFonts w:ascii="Arial" w:hAnsi="Arial" w:cs="Arial"/>
              </w:rPr>
              <w:t xml:space="preserve"> </w:t>
            </w:r>
          </w:p>
          <w:p w14:paraId="5288D7C9" w14:textId="77777777" w:rsidR="0086238C" w:rsidRPr="00A14272" w:rsidRDefault="0086238C" w:rsidP="00BC7B11">
            <w:pPr>
              <w:pStyle w:val="NoSpacing"/>
              <w:ind w:right="-108"/>
              <w:rPr>
                <w:rFonts w:ascii="Arial" w:hAnsi="Arial" w:cs="Arial"/>
              </w:rPr>
            </w:pPr>
          </w:p>
          <w:p w14:paraId="175B4CBA" w14:textId="10B087A9" w:rsidR="002B669A" w:rsidRPr="00A14272" w:rsidRDefault="007D29E6" w:rsidP="007D29E6">
            <w:pPr>
              <w:pStyle w:val="NoSpacing"/>
              <w:ind w:left="25" w:right="-43"/>
              <w:rPr>
                <w:rFonts w:ascii="Arial" w:hAnsi="Arial" w:cs="Arial"/>
              </w:rPr>
            </w:pPr>
            <w:r w:rsidRPr="00A14272">
              <w:rPr>
                <w:rFonts w:ascii="Arial" w:hAnsi="Arial" w:cs="Arial"/>
              </w:rPr>
              <w:t>Management has been instructed by</w:t>
            </w:r>
            <w:r w:rsidR="00BA065A" w:rsidRPr="00A14272">
              <w:rPr>
                <w:rFonts w:ascii="Arial" w:hAnsi="Arial" w:cs="Arial"/>
              </w:rPr>
              <w:t xml:space="preserve"> the </w:t>
            </w:r>
            <w:r w:rsidRPr="00A14272">
              <w:rPr>
                <w:rFonts w:ascii="Arial" w:hAnsi="Arial" w:cs="Arial"/>
              </w:rPr>
              <w:t>Secretary of Agriculture to convert it into a warehouse for rice</w:t>
            </w:r>
            <w:r w:rsidR="00886D9D" w:rsidRPr="00A14272">
              <w:rPr>
                <w:rFonts w:ascii="Arial" w:hAnsi="Arial" w:cs="Arial"/>
              </w:rPr>
              <w:t>.</w:t>
            </w:r>
            <w:r w:rsidR="0086238C" w:rsidRPr="00A14272">
              <w:rPr>
                <w:rFonts w:ascii="Arial" w:hAnsi="Arial" w:cs="Arial"/>
              </w:rPr>
              <w:t xml:space="preserve">   The </w:t>
            </w:r>
            <w:r w:rsidR="00886D9D" w:rsidRPr="00A14272">
              <w:rPr>
                <w:rFonts w:ascii="Arial" w:hAnsi="Arial" w:cs="Arial"/>
              </w:rPr>
              <w:t xml:space="preserve">Management has yet to draw </w:t>
            </w:r>
            <w:r w:rsidR="00C2374D" w:rsidRPr="00A14272">
              <w:rPr>
                <w:rFonts w:ascii="Arial" w:hAnsi="Arial" w:cs="Arial"/>
              </w:rPr>
              <w:t xml:space="preserve">a </w:t>
            </w:r>
            <w:r w:rsidR="00886D9D" w:rsidRPr="00A14272">
              <w:rPr>
                <w:rFonts w:ascii="Arial" w:hAnsi="Arial" w:cs="Arial"/>
              </w:rPr>
              <w:t>plan.</w:t>
            </w:r>
          </w:p>
          <w:p w14:paraId="73E6C980" w14:textId="53FF383D" w:rsidR="001D6CCE" w:rsidRDefault="001D6CCE" w:rsidP="007D29E6">
            <w:pPr>
              <w:pStyle w:val="NoSpacing"/>
              <w:ind w:left="25" w:right="-43"/>
              <w:rPr>
                <w:rFonts w:ascii="Arial" w:hAnsi="Arial" w:cs="Arial"/>
              </w:rPr>
            </w:pPr>
          </w:p>
          <w:p w14:paraId="6FC7B845" w14:textId="77777777" w:rsidR="007758CC" w:rsidRPr="00A14272" w:rsidRDefault="007758CC" w:rsidP="009A4FEC">
            <w:pPr>
              <w:pStyle w:val="NoSpacing"/>
              <w:ind w:left="25" w:right="-108"/>
              <w:rPr>
                <w:rFonts w:ascii="Arial" w:hAnsi="Arial" w:cs="Arial"/>
              </w:rPr>
            </w:pPr>
            <w:r w:rsidRPr="00A14272">
              <w:rPr>
                <w:rFonts w:ascii="Arial" w:hAnsi="Arial" w:cs="Arial"/>
              </w:rPr>
              <w:t>Partially Implemented</w:t>
            </w:r>
            <w:r w:rsidR="009121A1" w:rsidRPr="00A14272">
              <w:rPr>
                <w:rFonts w:ascii="Arial" w:hAnsi="Arial" w:cs="Arial"/>
              </w:rPr>
              <w:t>.</w:t>
            </w:r>
          </w:p>
          <w:p w14:paraId="5BF52F6B" w14:textId="77777777" w:rsidR="007758CC" w:rsidRPr="00A14272" w:rsidRDefault="007758CC" w:rsidP="009A4FEC">
            <w:pPr>
              <w:pStyle w:val="NoSpacing"/>
              <w:ind w:left="25" w:right="-108"/>
              <w:rPr>
                <w:rFonts w:ascii="Arial" w:hAnsi="Arial" w:cs="Arial"/>
              </w:rPr>
            </w:pPr>
          </w:p>
          <w:p w14:paraId="6828FB8D" w14:textId="77777777" w:rsidR="00EE4A37" w:rsidRPr="00A14272" w:rsidRDefault="007758CC" w:rsidP="009A4FEC">
            <w:pPr>
              <w:pStyle w:val="NoSpacing"/>
              <w:ind w:left="25" w:right="-108"/>
              <w:rPr>
                <w:rFonts w:ascii="Arial" w:hAnsi="Arial" w:cs="Arial"/>
              </w:rPr>
            </w:pPr>
            <w:r w:rsidRPr="00A14272">
              <w:rPr>
                <w:rFonts w:ascii="Arial" w:hAnsi="Arial" w:cs="Arial"/>
              </w:rPr>
              <w:t>Per confirmation with the Project Manager, the employees’ quarter is being used as stockroom of things and inventories that are already obsolete since it can no longer be used as quarters.</w:t>
            </w:r>
            <w:r w:rsidR="007D29E6" w:rsidRPr="00A14272">
              <w:rPr>
                <w:rFonts w:ascii="Arial" w:hAnsi="Arial" w:cs="Arial"/>
              </w:rPr>
              <w:t xml:space="preserve"> </w:t>
            </w:r>
          </w:p>
          <w:p w14:paraId="07474EB5" w14:textId="77777777" w:rsidR="00EE4A37" w:rsidRPr="00A14272" w:rsidRDefault="003C47F2" w:rsidP="00BC7B11">
            <w:pPr>
              <w:pStyle w:val="NoSpacing"/>
              <w:tabs>
                <w:tab w:val="left" w:pos="2470"/>
              </w:tabs>
              <w:ind w:left="25" w:right="-108"/>
              <w:rPr>
                <w:rFonts w:ascii="Arial" w:hAnsi="Arial" w:cs="Arial"/>
              </w:rPr>
            </w:pPr>
            <w:r w:rsidRPr="00A14272">
              <w:rPr>
                <w:rFonts w:ascii="Arial" w:hAnsi="Arial" w:cs="Arial"/>
              </w:rPr>
              <w:tab/>
            </w:r>
          </w:p>
          <w:p w14:paraId="55A31A3E" w14:textId="77777777" w:rsidR="00EE4A37" w:rsidRPr="00A14272" w:rsidRDefault="00EE4A37" w:rsidP="009A4FEC">
            <w:pPr>
              <w:pStyle w:val="NoSpacing"/>
              <w:ind w:left="25" w:right="-108"/>
              <w:rPr>
                <w:rFonts w:ascii="Arial" w:hAnsi="Arial" w:cs="Arial"/>
              </w:rPr>
            </w:pPr>
          </w:p>
          <w:p w14:paraId="6D32A7F8" w14:textId="77777777" w:rsidR="00EE4A37" w:rsidRPr="00A14272" w:rsidRDefault="00EE4A37" w:rsidP="009A4FEC">
            <w:pPr>
              <w:pStyle w:val="NoSpacing"/>
              <w:ind w:left="25" w:right="-108"/>
              <w:rPr>
                <w:rFonts w:ascii="Arial" w:hAnsi="Arial" w:cs="Arial"/>
              </w:rPr>
            </w:pPr>
          </w:p>
          <w:p w14:paraId="4B62C111" w14:textId="77777777" w:rsidR="00EE4A37" w:rsidRPr="00A14272" w:rsidRDefault="00EE4A37" w:rsidP="009A4FEC">
            <w:pPr>
              <w:pStyle w:val="NoSpacing"/>
              <w:ind w:left="25" w:right="-108"/>
              <w:rPr>
                <w:rFonts w:ascii="Arial" w:hAnsi="Arial" w:cs="Arial"/>
              </w:rPr>
            </w:pPr>
          </w:p>
          <w:p w14:paraId="26957947" w14:textId="77777777" w:rsidR="00EE4A37" w:rsidRPr="00A14272" w:rsidRDefault="00EE4A37" w:rsidP="009A4FEC">
            <w:pPr>
              <w:pStyle w:val="NoSpacing"/>
              <w:ind w:left="25" w:right="-108"/>
              <w:rPr>
                <w:rFonts w:ascii="Arial" w:hAnsi="Arial" w:cs="Arial"/>
              </w:rPr>
            </w:pPr>
          </w:p>
          <w:p w14:paraId="4F5A52F0" w14:textId="77777777" w:rsidR="00EE4A37" w:rsidRPr="00A14272" w:rsidRDefault="00EE4A37" w:rsidP="009A4FEC">
            <w:pPr>
              <w:pStyle w:val="NoSpacing"/>
              <w:ind w:left="25" w:right="-108"/>
              <w:rPr>
                <w:rFonts w:ascii="Arial" w:hAnsi="Arial" w:cs="Arial"/>
              </w:rPr>
            </w:pPr>
          </w:p>
          <w:p w14:paraId="572C993A" w14:textId="77777777" w:rsidR="004E69BA" w:rsidRPr="00A14272" w:rsidRDefault="004E69BA" w:rsidP="009A4FEC">
            <w:pPr>
              <w:pStyle w:val="NoSpacing"/>
              <w:ind w:left="25" w:right="-108"/>
              <w:rPr>
                <w:rFonts w:ascii="Arial" w:hAnsi="Arial" w:cs="Arial"/>
              </w:rPr>
            </w:pPr>
          </w:p>
          <w:p w14:paraId="64FF3051" w14:textId="77777777" w:rsidR="00EE4A37" w:rsidRPr="00A14272" w:rsidRDefault="00EE4A37" w:rsidP="009A4FEC">
            <w:pPr>
              <w:pStyle w:val="NoSpacing"/>
              <w:ind w:left="25" w:right="-108"/>
              <w:rPr>
                <w:rFonts w:ascii="Arial" w:hAnsi="Arial" w:cs="Arial"/>
              </w:rPr>
            </w:pPr>
          </w:p>
          <w:p w14:paraId="2CED82FF" w14:textId="77777777" w:rsidR="0001104B" w:rsidRPr="00A14272" w:rsidRDefault="0001104B" w:rsidP="009A4FEC">
            <w:pPr>
              <w:pStyle w:val="NoSpacing"/>
              <w:ind w:left="25" w:right="-108"/>
              <w:rPr>
                <w:rFonts w:ascii="Arial" w:hAnsi="Arial" w:cs="Arial"/>
              </w:rPr>
            </w:pPr>
          </w:p>
          <w:p w14:paraId="3D9BF9C5" w14:textId="77777777" w:rsidR="00D638D4" w:rsidRDefault="00D638D4" w:rsidP="009A4FEC">
            <w:pPr>
              <w:pStyle w:val="NoSpacing"/>
              <w:ind w:left="25" w:right="-108"/>
              <w:rPr>
                <w:rFonts w:ascii="Arial" w:hAnsi="Arial" w:cs="Arial"/>
              </w:rPr>
            </w:pPr>
          </w:p>
          <w:p w14:paraId="2FEA8E24" w14:textId="77777777" w:rsidR="00D638D4" w:rsidRDefault="00D638D4" w:rsidP="009A4FEC">
            <w:pPr>
              <w:pStyle w:val="NoSpacing"/>
              <w:ind w:left="25" w:right="-108"/>
              <w:rPr>
                <w:rFonts w:ascii="Arial" w:hAnsi="Arial" w:cs="Arial"/>
              </w:rPr>
            </w:pPr>
          </w:p>
          <w:p w14:paraId="2FAC58BB" w14:textId="45E65227" w:rsidR="00EE4A37" w:rsidRPr="00A14272" w:rsidRDefault="00EE4A37" w:rsidP="009A4FEC">
            <w:pPr>
              <w:pStyle w:val="NoSpacing"/>
              <w:ind w:left="25" w:right="-108"/>
              <w:rPr>
                <w:rFonts w:ascii="Arial" w:hAnsi="Arial" w:cs="Arial"/>
              </w:rPr>
            </w:pPr>
            <w:r w:rsidRPr="00A14272">
              <w:rPr>
                <w:rFonts w:ascii="Arial" w:hAnsi="Arial" w:cs="Arial"/>
              </w:rPr>
              <w:t>Not Implemented</w:t>
            </w:r>
            <w:r w:rsidR="00BB433A" w:rsidRPr="00A14272">
              <w:rPr>
                <w:rFonts w:ascii="Arial" w:hAnsi="Arial" w:cs="Arial"/>
              </w:rPr>
              <w:t>.</w:t>
            </w:r>
          </w:p>
          <w:p w14:paraId="01D4D83A" w14:textId="77777777" w:rsidR="00EE4A37" w:rsidRPr="00A14272" w:rsidRDefault="00EE4A37" w:rsidP="009A4FEC">
            <w:pPr>
              <w:pStyle w:val="NoSpacing"/>
              <w:ind w:left="25" w:right="-108"/>
              <w:rPr>
                <w:rFonts w:ascii="Arial" w:hAnsi="Arial" w:cs="Arial"/>
              </w:rPr>
            </w:pPr>
          </w:p>
          <w:p w14:paraId="599FA0AE" w14:textId="77777777" w:rsidR="00EE4A37" w:rsidRPr="00A14272" w:rsidRDefault="00EE4A37" w:rsidP="00C24152">
            <w:pPr>
              <w:pStyle w:val="NoSpacing"/>
              <w:ind w:right="-43"/>
              <w:rPr>
                <w:rFonts w:ascii="Arial" w:hAnsi="Arial" w:cs="Arial"/>
                <w:color w:val="00B0F0"/>
              </w:rPr>
            </w:pPr>
          </w:p>
          <w:p w14:paraId="5BE41AAF" w14:textId="77777777" w:rsidR="00EE4A37" w:rsidRPr="00A14272" w:rsidRDefault="00EE4A37" w:rsidP="009A4FEC">
            <w:pPr>
              <w:pStyle w:val="NoSpacing"/>
              <w:ind w:left="25" w:right="-108"/>
              <w:rPr>
                <w:rFonts w:ascii="Arial" w:hAnsi="Arial" w:cs="Arial"/>
              </w:rPr>
            </w:pPr>
            <w:r w:rsidRPr="00A14272">
              <w:rPr>
                <w:rFonts w:ascii="Arial" w:hAnsi="Arial" w:cs="Arial"/>
              </w:rPr>
              <w:t>Not Implemented</w:t>
            </w:r>
            <w:r w:rsidR="00BB433A" w:rsidRPr="00A14272">
              <w:rPr>
                <w:rFonts w:ascii="Arial" w:hAnsi="Arial" w:cs="Arial"/>
              </w:rPr>
              <w:t>.</w:t>
            </w:r>
          </w:p>
          <w:p w14:paraId="58E0A5DB" w14:textId="77777777" w:rsidR="00EE4A37" w:rsidRPr="00A14272" w:rsidRDefault="00EE4A37" w:rsidP="009A4FEC">
            <w:pPr>
              <w:pStyle w:val="NoSpacing"/>
              <w:ind w:left="25" w:right="-108"/>
              <w:rPr>
                <w:rFonts w:ascii="Arial" w:hAnsi="Arial" w:cs="Arial"/>
              </w:rPr>
            </w:pPr>
          </w:p>
          <w:p w14:paraId="3D47AD2F" w14:textId="36DC9A57" w:rsidR="008948CD" w:rsidRPr="00A14272" w:rsidRDefault="00191149" w:rsidP="0002303A">
            <w:pPr>
              <w:pStyle w:val="NoSpacing"/>
              <w:ind w:left="25" w:right="-43"/>
              <w:rPr>
                <w:rFonts w:ascii="Arial" w:hAnsi="Arial" w:cs="Arial"/>
              </w:rPr>
            </w:pPr>
            <w:r w:rsidRPr="00A14272">
              <w:rPr>
                <w:rFonts w:ascii="Arial" w:hAnsi="Arial" w:cs="Arial"/>
              </w:rPr>
              <w:t xml:space="preserve"> </w:t>
            </w:r>
          </w:p>
          <w:p w14:paraId="01CBA9C3" w14:textId="77777777" w:rsidR="0002303A" w:rsidRPr="00A14272" w:rsidRDefault="0002303A" w:rsidP="0002303A">
            <w:pPr>
              <w:pStyle w:val="NoSpacing"/>
              <w:ind w:left="25" w:right="-43"/>
              <w:rPr>
                <w:rFonts w:ascii="Arial" w:hAnsi="Arial" w:cs="Arial"/>
              </w:rPr>
            </w:pPr>
          </w:p>
        </w:tc>
      </w:tr>
      <w:tr w:rsidR="004772E9" w:rsidRPr="0035547E" w14:paraId="6EE2CC80" w14:textId="77777777" w:rsidTr="00C24152">
        <w:trPr>
          <w:trHeight w:val="480"/>
        </w:trPr>
        <w:tc>
          <w:tcPr>
            <w:tcW w:w="5199" w:type="dxa"/>
          </w:tcPr>
          <w:p w14:paraId="0D9B2705" w14:textId="77777777" w:rsidR="007758CC" w:rsidRPr="00A754FB" w:rsidRDefault="007758CC" w:rsidP="00AE683B">
            <w:pPr>
              <w:pStyle w:val="NoSpacing"/>
              <w:ind w:left="-105"/>
              <w:rPr>
                <w:rFonts w:ascii="Arial" w:hAnsi="Arial" w:cs="Arial"/>
                <w:b/>
                <w:u w:val="single"/>
              </w:rPr>
            </w:pPr>
            <w:r w:rsidRPr="00A754FB">
              <w:rPr>
                <w:rFonts w:ascii="Arial" w:hAnsi="Arial" w:cs="Arial"/>
                <w:b/>
                <w:u w:val="single"/>
              </w:rPr>
              <w:t>CY 2016 AAR</w:t>
            </w:r>
          </w:p>
          <w:p w14:paraId="143491B5" w14:textId="77777777" w:rsidR="007758CC" w:rsidRPr="00000A5C" w:rsidRDefault="007758CC" w:rsidP="00AE683B">
            <w:pPr>
              <w:pStyle w:val="NoSpacing"/>
              <w:ind w:left="-105"/>
              <w:rPr>
                <w:rFonts w:ascii="Arial" w:hAnsi="Arial" w:cs="Arial"/>
              </w:rPr>
            </w:pPr>
          </w:p>
          <w:p w14:paraId="3FC68AA5" w14:textId="77777777" w:rsidR="007758CC" w:rsidRPr="00000A5C" w:rsidRDefault="007758CC" w:rsidP="00204114">
            <w:pPr>
              <w:pStyle w:val="NoSpacing"/>
              <w:numPr>
                <w:ilvl w:val="0"/>
                <w:numId w:val="21"/>
              </w:numPr>
              <w:tabs>
                <w:tab w:val="left" w:pos="358"/>
              </w:tabs>
              <w:spacing w:line="240" w:lineRule="auto"/>
              <w:ind w:left="-120" w:firstLine="0"/>
              <w:rPr>
                <w:rFonts w:ascii="Arial" w:hAnsi="Arial" w:cs="Arial"/>
              </w:rPr>
            </w:pPr>
            <w:r w:rsidRPr="00000A5C">
              <w:rPr>
                <w:rFonts w:ascii="Arial" w:hAnsi="Arial" w:cs="Arial"/>
              </w:rPr>
              <w:t>The low collection efficiency of only P124.032 million or 35.71 per</w:t>
            </w:r>
            <w:r w:rsidR="00E826BF">
              <w:rPr>
                <w:rFonts w:ascii="Arial" w:hAnsi="Arial" w:cs="Arial"/>
              </w:rPr>
              <w:t xml:space="preserve"> </w:t>
            </w:r>
            <w:r w:rsidRPr="00000A5C">
              <w:rPr>
                <w:rFonts w:ascii="Arial" w:hAnsi="Arial" w:cs="Arial"/>
              </w:rPr>
              <w:t>cent out of the estimated collectibles of P347.305 million in CY 2016 on loans receivable were attributed to financial, technical and other problems of the tobacco farmers, which include, among others: a) proceeds from tobacco sales were not enough to cover amortization or used for other priorities of loan borrowers; b) over exposure of borrowers to various loan programs; and c) damaged crop or poor harvest of tobacco farmers; thus, depriving NTA of the much needed funds in the pursuit of its mandate.</w:t>
            </w:r>
          </w:p>
          <w:p w14:paraId="3EC1B721" w14:textId="77777777" w:rsidR="007758CC" w:rsidRPr="00000A5C" w:rsidRDefault="007758CC" w:rsidP="00AE683B">
            <w:pPr>
              <w:pStyle w:val="NoSpacing"/>
              <w:ind w:left="-105"/>
              <w:rPr>
                <w:rFonts w:ascii="Arial" w:hAnsi="Arial" w:cs="Arial"/>
              </w:rPr>
            </w:pPr>
          </w:p>
          <w:p w14:paraId="289B4901" w14:textId="77777777" w:rsidR="007758CC" w:rsidRPr="00000A5C" w:rsidRDefault="007758CC" w:rsidP="00AE683B">
            <w:pPr>
              <w:pStyle w:val="NoSpacing"/>
              <w:ind w:left="-105"/>
              <w:rPr>
                <w:rFonts w:ascii="Arial" w:hAnsi="Arial" w:cs="Arial"/>
              </w:rPr>
            </w:pPr>
            <w:r w:rsidRPr="00000A5C">
              <w:rPr>
                <w:rFonts w:ascii="Arial" w:hAnsi="Arial" w:cs="Arial"/>
              </w:rPr>
              <w:t>We reiterated our previous year’s recommendations that Management:</w:t>
            </w:r>
          </w:p>
          <w:p w14:paraId="684C60EF" w14:textId="77777777" w:rsidR="007758CC" w:rsidRPr="00000A5C" w:rsidRDefault="007758CC" w:rsidP="00AE683B">
            <w:pPr>
              <w:pStyle w:val="NoSpacing"/>
              <w:ind w:left="-105"/>
              <w:rPr>
                <w:rFonts w:ascii="Arial" w:hAnsi="Arial" w:cs="Arial"/>
              </w:rPr>
            </w:pPr>
          </w:p>
          <w:p w14:paraId="552FAC28" w14:textId="77777777" w:rsidR="007758CC" w:rsidRPr="00000A5C" w:rsidRDefault="007758CC" w:rsidP="00893D11">
            <w:pPr>
              <w:pStyle w:val="NoSpacing"/>
              <w:numPr>
                <w:ilvl w:val="0"/>
                <w:numId w:val="44"/>
              </w:numPr>
              <w:tabs>
                <w:tab w:val="left" w:pos="357"/>
              </w:tabs>
              <w:ind w:left="-110" w:firstLine="0"/>
              <w:rPr>
                <w:rFonts w:ascii="Arial" w:hAnsi="Arial" w:cs="Arial"/>
              </w:rPr>
            </w:pPr>
            <w:r w:rsidRPr="00000A5C">
              <w:rPr>
                <w:rFonts w:ascii="Arial" w:hAnsi="Arial" w:cs="Arial"/>
              </w:rPr>
              <w:t>Limit to viable and sustainable projects those loans to be extended to farmers to ensure collection, consider granting of loans only to those tobacco-farmers in good credit standing, and deduct from the proceeds of a new loan the previous loan balances of farmer-availees to prevent accumulation of arrearages;</w:t>
            </w:r>
            <w:r w:rsidR="005331EF">
              <w:rPr>
                <w:rFonts w:ascii="Arial" w:hAnsi="Arial" w:cs="Arial"/>
              </w:rPr>
              <w:t xml:space="preserve"> and</w:t>
            </w:r>
          </w:p>
          <w:p w14:paraId="20EC53A0" w14:textId="77777777" w:rsidR="007758CC" w:rsidRDefault="007758CC" w:rsidP="00AE683B">
            <w:pPr>
              <w:pStyle w:val="NoSpacing"/>
              <w:ind w:left="-105"/>
              <w:rPr>
                <w:rFonts w:ascii="Arial" w:hAnsi="Arial" w:cs="Arial"/>
              </w:rPr>
            </w:pPr>
          </w:p>
          <w:p w14:paraId="2550D37B" w14:textId="77777777" w:rsidR="00BC5431" w:rsidRDefault="00BC5431" w:rsidP="00AE683B">
            <w:pPr>
              <w:pStyle w:val="NoSpacing"/>
              <w:ind w:left="-105"/>
              <w:rPr>
                <w:rFonts w:ascii="Arial" w:hAnsi="Arial" w:cs="Arial"/>
              </w:rPr>
            </w:pPr>
          </w:p>
          <w:p w14:paraId="28CDCB8F" w14:textId="77777777" w:rsidR="00BC5431" w:rsidRDefault="00BC5431" w:rsidP="00AE683B">
            <w:pPr>
              <w:pStyle w:val="NoSpacing"/>
              <w:ind w:left="-105"/>
              <w:rPr>
                <w:rFonts w:ascii="Arial" w:hAnsi="Arial" w:cs="Arial"/>
              </w:rPr>
            </w:pPr>
          </w:p>
          <w:p w14:paraId="7A06F76D" w14:textId="77777777" w:rsidR="00BC5431" w:rsidRDefault="00BC5431" w:rsidP="00AE683B">
            <w:pPr>
              <w:pStyle w:val="NoSpacing"/>
              <w:ind w:left="-105"/>
              <w:rPr>
                <w:rFonts w:ascii="Arial" w:hAnsi="Arial" w:cs="Arial"/>
              </w:rPr>
            </w:pPr>
          </w:p>
          <w:p w14:paraId="784EFF90" w14:textId="77777777" w:rsidR="00BC5431" w:rsidRDefault="00BC5431" w:rsidP="00AE683B">
            <w:pPr>
              <w:pStyle w:val="NoSpacing"/>
              <w:ind w:left="-105"/>
              <w:rPr>
                <w:rFonts w:ascii="Arial" w:hAnsi="Arial" w:cs="Arial"/>
              </w:rPr>
            </w:pPr>
          </w:p>
          <w:p w14:paraId="09AF37F8" w14:textId="77777777" w:rsidR="00BC5431" w:rsidRDefault="00BC5431" w:rsidP="00AE683B">
            <w:pPr>
              <w:pStyle w:val="NoSpacing"/>
              <w:ind w:left="-105"/>
              <w:rPr>
                <w:rFonts w:ascii="Arial" w:hAnsi="Arial" w:cs="Arial"/>
              </w:rPr>
            </w:pPr>
          </w:p>
          <w:p w14:paraId="2202D3ED" w14:textId="77777777" w:rsidR="00BC5431" w:rsidRDefault="00BC5431" w:rsidP="00AE683B">
            <w:pPr>
              <w:pStyle w:val="NoSpacing"/>
              <w:ind w:left="-105"/>
              <w:rPr>
                <w:rFonts w:ascii="Arial" w:hAnsi="Arial" w:cs="Arial"/>
              </w:rPr>
            </w:pPr>
          </w:p>
          <w:p w14:paraId="454819E1" w14:textId="17E8216D" w:rsidR="00BC5431" w:rsidRDefault="00BC5431" w:rsidP="00AE683B">
            <w:pPr>
              <w:pStyle w:val="NoSpacing"/>
              <w:ind w:left="-105"/>
              <w:rPr>
                <w:rFonts w:ascii="Arial" w:hAnsi="Arial" w:cs="Arial"/>
              </w:rPr>
            </w:pPr>
          </w:p>
          <w:p w14:paraId="3F571090" w14:textId="0A234679" w:rsidR="005A7112" w:rsidRDefault="005A7112" w:rsidP="00AE683B">
            <w:pPr>
              <w:pStyle w:val="NoSpacing"/>
              <w:ind w:left="-105"/>
              <w:rPr>
                <w:rFonts w:ascii="Arial" w:hAnsi="Arial" w:cs="Arial"/>
              </w:rPr>
            </w:pPr>
          </w:p>
          <w:p w14:paraId="0653417D" w14:textId="43040E5C" w:rsidR="005A7112" w:rsidRDefault="005A7112" w:rsidP="00AE683B">
            <w:pPr>
              <w:pStyle w:val="NoSpacing"/>
              <w:ind w:left="-105"/>
              <w:rPr>
                <w:rFonts w:ascii="Arial" w:hAnsi="Arial" w:cs="Arial"/>
              </w:rPr>
            </w:pPr>
          </w:p>
          <w:p w14:paraId="0DA7B0DF" w14:textId="77777777" w:rsidR="005A7112" w:rsidRDefault="005A7112" w:rsidP="00AE683B">
            <w:pPr>
              <w:pStyle w:val="NoSpacing"/>
              <w:ind w:left="-105"/>
              <w:rPr>
                <w:rFonts w:ascii="Arial" w:hAnsi="Arial" w:cs="Arial"/>
              </w:rPr>
            </w:pPr>
          </w:p>
          <w:p w14:paraId="7A15B303" w14:textId="77777777" w:rsidR="007758CC" w:rsidRPr="00000A5C" w:rsidRDefault="007758CC" w:rsidP="00AE683B">
            <w:pPr>
              <w:pStyle w:val="NoSpacing"/>
              <w:ind w:left="-105"/>
              <w:rPr>
                <w:rFonts w:ascii="Arial" w:hAnsi="Arial" w:cs="Arial"/>
              </w:rPr>
            </w:pPr>
          </w:p>
          <w:p w14:paraId="02351E27" w14:textId="20861A74" w:rsidR="004772E9" w:rsidRPr="00000A5C" w:rsidRDefault="007758CC" w:rsidP="00C24152">
            <w:pPr>
              <w:pStyle w:val="NoSpacing"/>
              <w:numPr>
                <w:ilvl w:val="0"/>
                <w:numId w:val="44"/>
              </w:numPr>
              <w:tabs>
                <w:tab w:val="left" w:pos="357"/>
              </w:tabs>
              <w:ind w:left="-110" w:firstLine="0"/>
              <w:rPr>
                <w:rFonts w:ascii="Arial" w:hAnsi="Arial" w:cs="Arial"/>
                <w:b/>
                <w:u w:val="single"/>
              </w:rPr>
            </w:pPr>
            <w:r w:rsidRPr="00000A5C">
              <w:rPr>
                <w:rFonts w:ascii="Arial" w:hAnsi="Arial" w:cs="Arial"/>
              </w:rPr>
              <w:t>File collection suits, if warranted.</w:t>
            </w:r>
          </w:p>
        </w:tc>
        <w:tc>
          <w:tcPr>
            <w:tcW w:w="3801" w:type="dxa"/>
          </w:tcPr>
          <w:p w14:paraId="4AD280C7" w14:textId="77777777" w:rsidR="004772E9" w:rsidRDefault="004772E9" w:rsidP="009A4FEC">
            <w:pPr>
              <w:pStyle w:val="NoSpacing"/>
              <w:ind w:left="25" w:right="-108"/>
              <w:rPr>
                <w:rFonts w:ascii="Arial" w:hAnsi="Arial" w:cs="Arial"/>
              </w:rPr>
            </w:pPr>
          </w:p>
          <w:p w14:paraId="08A33E7F" w14:textId="77777777" w:rsidR="007758CC" w:rsidRDefault="007758CC" w:rsidP="009A4FEC">
            <w:pPr>
              <w:pStyle w:val="NoSpacing"/>
              <w:ind w:left="25" w:right="-108"/>
              <w:rPr>
                <w:rFonts w:ascii="Arial" w:hAnsi="Arial" w:cs="Arial"/>
              </w:rPr>
            </w:pPr>
          </w:p>
          <w:p w14:paraId="79A13D57" w14:textId="77777777" w:rsidR="007758CC" w:rsidRDefault="007758CC" w:rsidP="009A4FEC">
            <w:pPr>
              <w:pStyle w:val="NoSpacing"/>
              <w:ind w:left="25" w:right="-108"/>
              <w:rPr>
                <w:rFonts w:ascii="Arial" w:hAnsi="Arial" w:cs="Arial"/>
              </w:rPr>
            </w:pPr>
          </w:p>
          <w:p w14:paraId="39BB1D14" w14:textId="77777777" w:rsidR="007758CC" w:rsidRDefault="007758CC" w:rsidP="009A4FEC">
            <w:pPr>
              <w:pStyle w:val="NoSpacing"/>
              <w:ind w:left="25" w:right="-108"/>
              <w:rPr>
                <w:rFonts w:ascii="Arial" w:hAnsi="Arial" w:cs="Arial"/>
              </w:rPr>
            </w:pPr>
          </w:p>
          <w:p w14:paraId="5A576673" w14:textId="77777777" w:rsidR="007758CC" w:rsidRDefault="007758CC" w:rsidP="009A4FEC">
            <w:pPr>
              <w:pStyle w:val="NoSpacing"/>
              <w:ind w:left="25" w:right="-108"/>
              <w:rPr>
                <w:rFonts w:ascii="Arial" w:hAnsi="Arial" w:cs="Arial"/>
              </w:rPr>
            </w:pPr>
          </w:p>
          <w:p w14:paraId="66022FFA" w14:textId="77777777" w:rsidR="007758CC" w:rsidRDefault="007758CC" w:rsidP="009A4FEC">
            <w:pPr>
              <w:pStyle w:val="NoSpacing"/>
              <w:ind w:left="25" w:right="-108"/>
              <w:rPr>
                <w:rFonts w:ascii="Arial" w:hAnsi="Arial" w:cs="Arial"/>
              </w:rPr>
            </w:pPr>
          </w:p>
          <w:p w14:paraId="7CF780BA" w14:textId="77777777" w:rsidR="007758CC" w:rsidRDefault="007758CC" w:rsidP="009A4FEC">
            <w:pPr>
              <w:pStyle w:val="NoSpacing"/>
              <w:ind w:left="25" w:right="-108"/>
              <w:rPr>
                <w:rFonts w:ascii="Arial" w:hAnsi="Arial" w:cs="Arial"/>
              </w:rPr>
            </w:pPr>
          </w:p>
          <w:p w14:paraId="3E1269E3" w14:textId="77777777" w:rsidR="007758CC" w:rsidRDefault="007758CC" w:rsidP="009A4FEC">
            <w:pPr>
              <w:pStyle w:val="NoSpacing"/>
              <w:ind w:left="25" w:right="-108"/>
              <w:rPr>
                <w:rFonts w:ascii="Arial" w:hAnsi="Arial" w:cs="Arial"/>
              </w:rPr>
            </w:pPr>
          </w:p>
          <w:p w14:paraId="63750F4A" w14:textId="77777777" w:rsidR="007758CC" w:rsidRDefault="007758CC" w:rsidP="009A4FEC">
            <w:pPr>
              <w:pStyle w:val="NoSpacing"/>
              <w:ind w:left="25" w:right="-108"/>
              <w:rPr>
                <w:rFonts w:ascii="Arial" w:hAnsi="Arial" w:cs="Arial"/>
              </w:rPr>
            </w:pPr>
          </w:p>
          <w:p w14:paraId="1CD88451" w14:textId="77777777" w:rsidR="007758CC" w:rsidRDefault="007758CC" w:rsidP="009A4FEC">
            <w:pPr>
              <w:pStyle w:val="NoSpacing"/>
              <w:ind w:left="25" w:right="-108"/>
              <w:rPr>
                <w:rFonts w:ascii="Arial" w:hAnsi="Arial" w:cs="Arial"/>
              </w:rPr>
            </w:pPr>
          </w:p>
          <w:p w14:paraId="3958E99F" w14:textId="77777777" w:rsidR="007758CC" w:rsidRDefault="007758CC" w:rsidP="009A4FEC">
            <w:pPr>
              <w:pStyle w:val="NoSpacing"/>
              <w:ind w:left="25" w:right="-108"/>
              <w:rPr>
                <w:rFonts w:ascii="Arial" w:hAnsi="Arial" w:cs="Arial"/>
              </w:rPr>
            </w:pPr>
          </w:p>
          <w:p w14:paraId="23075C91" w14:textId="77777777" w:rsidR="007758CC" w:rsidRDefault="007758CC" w:rsidP="009A4FEC">
            <w:pPr>
              <w:pStyle w:val="NoSpacing"/>
              <w:ind w:left="25" w:right="-108"/>
              <w:rPr>
                <w:rFonts w:ascii="Arial" w:hAnsi="Arial" w:cs="Arial"/>
              </w:rPr>
            </w:pPr>
          </w:p>
          <w:p w14:paraId="6C76FE6A" w14:textId="77777777" w:rsidR="007758CC" w:rsidRDefault="007758CC" w:rsidP="009A4FEC">
            <w:pPr>
              <w:pStyle w:val="NoSpacing"/>
              <w:ind w:left="25" w:right="-108"/>
              <w:rPr>
                <w:rFonts w:ascii="Arial" w:hAnsi="Arial" w:cs="Arial"/>
              </w:rPr>
            </w:pPr>
          </w:p>
          <w:p w14:paraId="2C0B1D3F" w14:textId="77777777" w:rsidR="007758CC" w:rsidRDefault="007758CC" w:rsidP="009A4FEC">
            <w:pPr>
              <w:pStyle w:val="NoSpacing"/>
              <w:ind w:left="25" w:right="-108"/>
              <w:rPr>
                <w:rFonts w:ascii="Arial" w:hAnsi="Arial" w:cs="Arial"/>
              </w:rPr>
            </w:pPr>
          </w:p>
          <w:p w14:paraId="416DD3BA" w14:textId="77777777" w:rsidR="007758CC" w:rsidRDefault="007758CC" w:rsidP="009A4FEC">
            <w:pPr>
              <w:pStyle w:val="NoSpacing"/>
              <w:ind w:left="25" w:right="-108"/>
              <w:rPr>
                <w:rFonts w:ascii="Arial" w:hAnsi="Arial" w:cs="Arial"/>
              </w:rPr>
            </w:pPr>
          </w:p>
          <w:p w14:paraId="2D60583E" w14:textId="77777777" w:rsidR="007758CC" w:rsidRDefault="007758CC" w:rsidP="009A4FEC">
            <w:pPr>
              <w:pStyle w:val="NoSpacing"/>
              <w:ind w:left="25" w:right="-108"/>
              <w:rPr>
                <w:rFonts w:ascii="Arial" w:hAnsi="Arial" w:cs="Arial"/>
              </w:rPr>
            </w:pPr>
          </w:p>
          <w:p w14:paraId="35C66ABD" w14:textId="77777777" w:rsidR="0067653F" w:rsidRDefault="0067653F" w:rsidP="009A4FEC">
            <w:pPr>
              <w:pStyle w:val="NoSpacing"/>
              <w:ind w:left="25" w:right="-108"/>
              <w:rPr>
                <w:rFonts w:ascii="Arial" w:hAnsi="Arial" w:cs="Arial"/>
              </w:rPr>
            </w:pPr>
          </w:p>
          <w:p w14:paraId="7F6DFF8C" w14:textId="77777777" w:rsidR="00191149" w:rsidRDefault="00191149" w:rsidP="00223437">
            <w:pPr>
              <w:pStyle w:val="NoSpacing"/>
              <w:ind w:right="-108"/>
              <w:rPr>
                <w:rFonts w:ascii="Arial" w:hAnsi="Arial" w:cs="Arial"/>
              </w:rPr>
            </w:pPr>
          </w:p>
          <w:p w14:paraId="23F3D745" w14:textId="0AB1AE90" w:rsidR="006C0932" w:rsidRDefault="006C0932" w:rsidP="006C0932">
            <w:pPr>
              <w:pStyle w:val="NoSpacing"/>
              <w:ind w:left="25" w:right="-43"/>
              <w:rPr>
                <w:rFonts w:ascii="Arial" w:hAnsi="Arial" w:cs="Arial"/>
              </w:rPr>
            </w:pPr>
            <w:r>
              <w:rPr>
                <w:rFonts w:ascii="Arial" w:hAnsi="Arial" w:cs="Arial"/>
              </w:rPr>
              <w:t>Revised and reformulated in Part II – Observations and Recommendations No. 3 of this Report.</w:t>
            </w:r>
          </w:p>
          <w:p w14:paraId="0335D590" w14:textId="77777777" w:rsidR="007758CC" w:rsidRPr="00000A5C" w:rsidRDefault="007758CC" w:rsidP="009A4FEC">
            <w:pPr>
              <w:pStyle w:val="NoSpacing"/>
              <w:ind w:left="25" w:right="-108"/>
              <w:rPr>
                <w:rFonts w:ascii="Arial" w:hAnsi="Arial" w:cs="Arial"/>
              </w:rPr>
            </w:pPr>
          </w:p>
          <w:p w14:paraId="434EB168" w14:textId="4C54F85F" w:rsidR="00BC5431" w:rsidRPr="00BC5431" w:rsidRDefault="007758CC" w:rsidP="00BC5431">
            <w:pPr>
              <w:pStyle w:val="NoSpacing"/>
              <w:ind w:left="25"/>
              <w:rPr>
                <w:rFonts w:ascii="Arial" w:hAnsi="Arial" w:cs="Arial"/>
              </w:rPr>
            </w:pPr>
            <w:r w:rsidRPr="00000A5C">
              <w:rPr>
                <w:rFonts w:ascii="Arial" w:hAnsi="Arial" w:cs="Arial"/>
              </w:rPr>
              <w:t xml:space="preserve">Deduction of the loan balance from the proceeds of a new loan is not feasible because the loan proceeds amount </w:t>
            </w:r>
            <w:r w:rsidR="00EC46EB">
              <w:rPr>
                <w:rFonts w:ascii="Arial" w:hAnsi="Arial" w:cs="Arial"/>
              </w:rPr>
              <w:t>i</w:t>
            </w:r>
            <w:r w:rsidRPr="00000A5C">
              <w:rPr>
                <w:rFonts w:ascii="Arial" w:hAnsi="Arial" w:cs="Arial"/>
              </w:rPr>
              <w:t>s the exact amount needed by a farmer for the tobacco farming season.</w:t>
            </w:r>
            <w:r w:rsidR="00BC5431">
              <w:rPr>
                <w:rFonts w:ascii="Arial" w:hAnsi="Arial" w:cs="Arial"/>
              </w:rPr>
              <w:t xml:space="preserve"> </w:t>
            </w:r>
            <w:r w:rsidR="00EC46EB">
              <w:rPr>
                <w:rFonts w:ascii="Arial" w:hAnsi="Arial" w:cs="Arial"/>
              </w:rPr>
              <w:t xml:space="preserve">  </w:t>
            </w:r>
            <w:r w:rsidR="00BC5431">
              <w:rPr>
                <w:rFonts w:ascii="Arial" w:hAnsi="Arial" w:cs="Arial"/>
              </w:rPr>
              <w:t>Also</w:t>
            </w:r>
            <w:r w:rsidR="00A24BD9">
              <w:rPr>
                <w:rFonts w:ascii="Arial" w:hAnsi="Arial" w:cs="Arial"/>
              </w:rPr>
              <w:t>,</w:t>
            </w:r>
            <w:r w:rsidR="00BC5431">
              <w:rPr>
                <w:rFonts w:ascii="Arial" w:hAnsi="Arial" w:cs="Arial"/>
              </w:rPr>
              <w:t xml:space="preserve"> the l</w:t>
            </w:r>
            <w:r w:rsidR="00BC5431" w:rsidRPr="00BC5431">
              <w:rPr>
                <w:rFonts w:ascii="Arial" w:hAnsi="Arial" w:cs="Arial"/>
              </w:rPr>
              <w:t>oans granted to farmers were in accordance to the needs of tobacco farmers. Unfortunately, some farmers do not pay due to unforeseen circumstances like typhoons and the provision by LGUs to farmers</w:t>
            </w:r>
            <w:r w:rsidR="00CC2652">
              <w:rPr>
                <w:rFonts w:ascii="Arial" w:hAnsi="Arial" w:cs="Arial"/>
              </w:rPr>
              <w:t>’</w:t>
            </w:r>
            <w:r w:rsidR="00BC5431" w:rsidRPr="00BC5431">
              <w:rPr>
                <w:rFonts w:ascii="Arial" w:hAnsi="Arial" w:cs="Arial"/>
              </w:rPr>
              <w:t xml:space="preserve"> free farm machineries and equipment and production inputs.</w:t>
            </w:r>
          </w:p>
          <w:p w14:paraId="3CF8B02F" w14:textId="77777777" w:rsidR="00BC5431" w:rsidRPr="00000A5C" w:rsidRDefault="00BC5431" w:rsidP="009A4FEC">
            <w:pPr>
              <w:pStyle w:val="NoSpacing"/>
              <w:ind w:left="25" w:right="-108"/>
              <w:rPr>
                <w:rFonts w:ascii="Arial" w:hAnsi="Arial" w:cs="Arial"/>
              </w:rPr>
            </w:pPr>
          </w:p>
          <w:p w14:paraId="60671D7A" w14:textId="153AF2C1" w:rsidR="007758CC" w:rsidRPr="00000A5C" w:rsidRDefault="007758CC" w:rsidP="00C24152">
            <w:pPr>
              <w:pStyle w:val="NoSpacing"/>
              <w:rPr>
                <w:rFonts w:ascii="Arial" w:hAnsi="Arial" w:cs="Arial"/>
              </w:rPr>
            </w:pPr>
            <w:r w:rsidRPr="00000A5C">
              <w:rPr>
                <w:rFonts w:ascii="Arial" w:hAnsi="Arial" w:cs="Arial"/>
              </w:rPr>
              <w:t>Not Implemented.</w:t>
            </w:r>
          </w:p>
        </w:tc>
      </w:tr>
      <w:tr w:rsidR="00FA7521" w:rsidRPr="0035547E" w14:paraId="5C908DD6" w14:textId="77777777" w:rsidTr="00C24152">
        <w:trPr>
          <w:trHeight w:val="480"/>
        </w:trPr>
        <w:tc>
          <w:tcPr>
            <w:tcW w:w="5199" w:type="dxa"/>
          </w:tcPr>
          <w:p w14:paraId="3D83DE96" w14:textId="77777777" w:rsidR="00FA7521" w:rsidRDefault="00FA7521" w:rsidP="00C24152">
            <w:pPr>
              <w:pStyle w:val="NoSpacing"/>
              <w:rPr>
                <w:rFonts w:ascii="Arial" w:hAnsi="Arial" w:cs="Arial"/>
                <w:b/>
                <w:u w:val="single"/>
              </w:rPr>
            </w:pPr>
          </w:p>
          <w:p w14:paraId="7E9FC301" w14:textId="5C6CA4D2" w:rsidR="00FA7521" w:rsidRDefault="00FA7521" w:rsidP="00FA7521">
            <w:pPr>
              <w:pStyle w:val="NoSpacing"/>
              <w:ind w:left="-105"/>
              <w:rPr>
                <w:rFonts w:ascii="Arial" w:hAnsi="Arial" w:cs="Arial"/>
                <w:b/>
                <w:u w:val="single"/>
              </w:rPr>
            </w:pPr>
            <w:r w:rsidRPr="00A754FB">
              <w:rPr>
                <w:rFonts w:ascii="Arial" w:hAnsi="Arial" w:cs="Arial"/>
                <w:b/>
                <w:u w:val="single"/>
              </w:rPr>
              <w:t>CY 201</w:t>
            </w:r>
            <w:r>
              <w:rPr>
                <w:rFonts w:ascii="Arial" w:hAnsi="Arial" w:cs="Arial"/>
                <w:b/>
                <w:u w:val="single"/>
              </w:rPr>
              <w:t>5</w:t>
            </w:r>
            <w:r w:rsidRPr="00A754FB">
              <w:rPr>
                <w:rFonts w:ascii="Arial" w:hAnsi="Arial" w:cs="Arial"/>
                <w:b/>
                <w:u w:val="single"/>
              </w:rPr>
              <w:t xml:space="preserve"> AAR</w:t>
            </w:r>
          </w:p>
          <w:p w14:paraId="4EFBFE41" w14:textId="3455E805" w:rsidR="00FA7521" w:rsidRDefault="00FA7521" w:rsidP="00FA7521">
            <w:pPr>
              <w:pStyle w:val="NoSpacing"/>
              <w:ind w:left="-105"/>
              <w:rPr>
                <w:rFonts w:ascii="Arial" w:hAnsi="Arial" w:cs="Arial"/>
                <w:b/>
                <w:u w:val="single"/>
              </w:rPr>
            </w:pPr>
          </w:p>
          <w:p w14:paraId="38815B75" w14:textId="7D885D06" w:rsidR="00FA7521" w:rsidRDefault="00FA7521" w:rsidP="00893D11">
            <w:pPr>
              <w:pStyle w:val="NoSpacing"/>
              <w:numPr>
                <w:ilvl w:val="0"/>
                <w:numId w:val="21"/>
              </w:numPr>
              <w:tabs>
                <w:tab w:val="left" w:pos="358"/>
              </w:tabs>
              <w:spacing w:line="240" w:lineRule="auto"/>
              <w:ind w:left="-120" w:firstLine="0"/>
              <w:rPr>
                <w:rFonts w:ascii="Arial" w:hAnsi="Arial" w:cs="Arial"/>
              </w:rPr>
            </w:pPr>
            <w:r w:rsidRPr="00FA7521">
              <w:rPr>
                <w:rFonts w:ascii="Arial" w:hAnsi="Arial" w:cs="Arial"/>
              </w:rPr>
              <w:t>The proposal for dacion en pago of NTA to the Philippine Deposit Insurance Corporation (PDIC) for the disposable portions of its properties in Rodriguez, Rizal as full equivalent/settlement of its principal loan, interest  and penalty charges from the Philippine National Bank (PNB) that were dacioned/transferred by the latter to PDIC in CY 2002 remained unsettled; thus, original loan, interest and penalty of P78.729 million have substantially increased to P282.998 million as at December 31, 2015 due to accumulation of interest and penalty charges of P67.674 million and P136.595 million, respectively.  These penalties and charges were not recorded in the books thereby understating the expense and liability accounts by P204.269 million and overstating the retained earnings by the same amount.</w:t>
            </w:r>
          </w:p>
          <w:p w14:paraId="7365989A" w14:textId="77777777" w:rsidR="00893D11" w:rsidRPr="00FA7521" w:rsidRDefault="00893D11" w:rsidP="00893D11">
            <w:pPr>
              <w:pStyle w:val="NoSpacing"/>
              <w:tabs>
                <w:tab w:val="left" w:pos="358"/>
              </w:tabs>
              <w:spacing w:line="240" w:lineRule="auto"/>
              <w:ind w:left="-120"/>
              <w:rPr>
                <w:rFonts w:ascii="Arial" w:hAnsi="Arial" w:cs="Arial"/>
              </w:rPr>
            </w:pPr>
          </w:p>
          <w:p w14:paraId="3B431C80" w14:textId="18A93F5B" w:rsidR="0067653F" w:rsidRPr="00A754FB" w:rsidRDefault="0067653F" w:rsidP="00FA7521">
            <w:pPr>
              <w:pStyle w:val="NoSpacing"/>
              <w:ind w:left="-105"/>
              <w:rPr>
                <w:rFonts w:ascii="Arial" w:hAnsi="Arial" w:cs="Arial"/>
                <w:b/>
                <w:u w:val="single"/>
              </w:rPr>
            </w:pPr>
            <w:r w:rsidRPr="0067653F">
              <w:rPr>
                <w:rFonts w:ascii="Arial" w:hAnsi="Arial" w:cs="Arial"/>
              </w:rPr>
              <w:t>We recommended that Management make a representation with PDIC for the speedy approval of their proposal for dacion en pago to prevent further accumulation of interest and penalty charges</w:t>
            </w:r>
            <w:r w:rsidRPr="000B23AF">
              <w:rPr>
                <w:rFonts w:ascii="Arial Narrow" w:hAnsi="Arial Narrow"/>
                <w:sz w:val="18"/>
                <w:szCs w:val="18"/>
              </w:rPr>
              <w:t>.</w:t>
            </w:r>
          </w:p>
          <w:p w14:paraId="109E70C7" w14:textId="309E21CF" w:rsidR="00FA7521" w:rsidRPr="00A754FB" w:rsidRDefault="00FA7521" w:rsidP="00AE683B">
            <w:pPr>
              <w:pStyle w:val="NoSpacing"/>
              <w:ind w:left="-105"/>
              <w:rPr>
                <w:rFonts w:ascii="Arial" w:hAnsi="Arial" w:cs="Arial"/>
                <w:b/>
                <w:u w:val="single"/>
              </w:rPr>
            </w:pPr>
          </w:p>
        </w:tc>
        <w:tc>
          <w:tcPr>
            <w:tcW w:w="3801" w:type="dxa"/>
          </w:tcPr>
          <w:p w14:paraId="371A99BC" w14:textId="77777777" w:rsidR="00FA7521" w:rsidRDefault="00FA7521" w:rsidP="00C24152">
            <w:pPr>
              <w:pStyle w:val="NoSpacing"/>
              <w:ind w:right="-108"/>
              <w:rPr>
                <w:rFonts w:ascii="Arial" w:hAnsi="Arial" w:cs="Arial"/>
              </w:rPr>
            </w:pPr>
          </w:p>
          <w:p w14:paraId="1D8C2133" w14:textId="77777777" w:rsidR="0067653F" w:rsidRDefault="0067653F" w:rsidP="009A4FEC">
            <w:pPr>
              <w:pStyle w:val="NoSpacing"/>
              <w:ind w:left="25" w:right="-108"/>
              <w:rPr>
                <w:rFonts w:ascii="Arial" w:hAnsi="Arial" w:cs="Arial"/>
              </w:rPr>
            </w:pPr>
          </w:p>
          <w:p w14:paraId="3FB83872" w14:textId="77777777" w:rsidR="0067653F" w:rsidRDefault="0067653F" w:rsidP="009A4FEC">
            <w:pPr>
              <w:pStyle w:val="NoSpacing"/>
              <w:ind w:left="25" w:right="-108"/>
              <w:rPr>
                <w:rFonts w:ascii="Arial" w:hAnsi="Arial" w:cs="Arial"/>
              </w:rPr>
            </w:pPr>
          </w:p>
          <w:p w14:paraId="674E3764" w14:textId="77777777" w:rsidR="0067653F" w:rsidRDefault="0067653F" w:rsidP="009A4FEC">
            <w:pPr>
              <w:pStyle w:val="NoSpacing"/>
              <w:ind w:left="25" w:right="-108"/>
              <w:rPr>
                <w:rFonts w:ascii="Arial" w:hAnsi="Arial" w:cs="Arial"/>
              </w:rPr>
            </w:pPr>
          </w:p>
          <w:p w14:paraId="7D25ABB1" w14:textId="77777777" w:rsidR="0067653F" w:rsidRDefault="0067653F" w:rsidP="009A4FEC">
            <w:pPr>
              <w:pStyle w:val="NoSpacing"/>
              <w:ind w:left="25" w:right="-108"/>
              <w:rPr>
                <w:rFonts w:ascii="Arial" w:hAnsi="Arial" w:cs="Arial"/>
              </w:rPr>
            </w:pPr>
          </w:p>
          <w:p w14:paraId="7AD392D2" w14:textId="77777777" w:rsidR="0067653F" w:rsidRDefault="0067653F" w:rsidP="009A4FEC">
            <w:pPr>
              <w:pStyle w:val="NoSpacing"/>
              <w:ind w:left="25" w:right="-108"/>
              <w:rPr>
                <w:rFonts w:ascii="Arial" w:hAnsi="Arial" w:cs="Arial"/>
              </w:rPr>
            </w:pPr>
          </w:p>
          <w:p w14:paraId="2302247D" w14:textId="77777777" w:rsidR="0067653F" w:rsidRDefault="0067653F" w:rsidP="009A4FEC">
            <w:pPr>
              <w:pStyle w:val="NoSpacing"/>
              <w:ind w:left="25" w:right="-108"/>
              <w:rPr>
                <w:rFonts w:ascii="Arial" w:hAnsi="Arial" w:cs="Arial"/>
              </w:rPr>
            </w:pPr>
          </w:p>
          <w:p w14:paraId="0F4997F5" w14:textId="77777777" w:rsidR="0067653F" w:rsidRDefault="0067653F" w:rsidP="009A4FEC">
            <w:pPr>
              <w:pStyle w:val="NoSpacing"/>
              <w:ind w:left="25" w:right="-108"/>
              <w:rPr>
                <w:rFonts w:ascii="Arial" w:hAnsi="Arial" w:cs="Arial"/>
              </w:rPr>
            </w:pPr>
          </w:p>
          <w:p w14:paraId="4F7EB7F3" w14:textId="77777777" w:rsidR="0067653F" w:rsidRDefault="0067653F" w:rsidP="009A4FEC">
            <w:pPr>
              <w:pStyle w:val="NoSpacing"/>
              <w:ind w:left="25" w:right="-108"/>
              <w:rPr>
                <w:rFonts w:ascii="Arial" w:hAnsi="Arial" w:cs="Arial"/>
              </w:rPr>
            </w:pPr>
          </w:p>
          <w:p w14:paraId="4F56B4A9" w14:textId="77777777" w:rsidR="0067653F" w:rsidRDefault="0067653F" w:rsidP="009A4FEC">
            <w:pPr>
              <w:pStyle w:val="NoSpacing"/>
              <w:ind w:left="25" w:right="-108"/>
              <w:rPr>
                <w:rFonts w:ascii="Arial" w:hAnsi="Arial" w:cs="Arial"/>
              </w:rPr>
            </w:pPr>
          </w:p>
          <w:p w14:paraId="3E6847A6" w14:textId="77777777" w:rsidR="0067653F" w:rsidRDefault="0067653F" w:rsidP="009A4FEC">
            <w:pPr>
              <w:pStyle w:val="NoSpacing"/>
              <w:ind w:left="25" w:right="-108"/>
              <w:rPr>
                <w:rFonts w:ascii="Arial" w:hAnsi="Arial" w:cs="Arial"/>
              </w:rPr>
            </w:pPr>
          </w:p>
          <w:p w14:paraId="04EA626C" w14:textId="77777777" w:rsidR="0067653F" w:rsidRDefault="0067653F" w:rsidP="009A4FEC">
            <w:pPr>
              <w:pStyle w:val="NoSpacing"/>
              <w:ind w:left="25" w:right="-108"/>
              <w:rPr>
                <w:rFonts w:ascii="Arial" w:hAnsi="Arial" w:cs="Arial"/>
              </w:rPr>
            </w:pPr>
          </w:p>
          <w:p w14:paraId="41BB8D7D" w14:textId="77777777" w:rsidR="0067653F" w:rsidRDefault="0067653F" w:rsidP="009A4FEC">
            <w:pPr>
              <w:pStyle w:val="NoSpacing"/>
              <w:ind w:left="25" w:right="-108"/>
              <w:rPr>
                <w:rFonts w:ascii="Arial" w:hAnsi="Arial" w:cs="Arial"/>
              </w:rPr>
            </w:pPr>
          </w:p>
          <w:p w14:paraId="6C4A5BF2" w14:textId="77777777" w:rsidR="0067653F" w:rsidRDefault="0067653F" w:rsidP="009A4FEC">
            <w:pPr>
              <w:pStyle w:val="NoSpacing"/>
              <w:ind w:left="25" w:right="-108"/>
              <w:rPr>
                <w:rFonts w:ascii="Arial" w:hAnsi="Arial" w:cs="Arial"/>
              </w:rPr>
            </w:pPr>
          </w:p>
          <w:p w14:paraId="19D97784" w14:textId="77777777" w:rsidR="0067653F" w:rsidRDefault="0067653F" w:rsidP="009A4FEC">
            <w:pPr>
              <w:pStyle w:val="NoSpacing"/>
              <w:ind w:left="25" w:right="-108"/>
              <w:rPr>
                <w:rFonts w:ascii="Arial" w:hAnsi="Arial" w:cs="Arial"/>
              </w:rPr>
            </w:pPr>
          </w:p>
          <w:p w14:paraId="6CC7C8F9" w14:textId="77777777" w:rsidR="0067653F" w:rsidRDefault="0067653F" w:rsidP="009A4FEC">
            <w:pPr>
              <w:pStyle w:val="NoSpacing"/>
              <w:ind w:left="25" w:right="-108"/>
              <w:rPr>
                <w:rFonts w:ascii="Arial" w:hAnsi="Arial" w:cs="Arial"/>
              </w:rPr>
            </w:pPr>
          </w:p>
          <w:p w14:paraId="0F36B22B" w14:textId="1B9C3BAA" w:rsidR="0067653F" w:rsidRDefault="0067653F" w:rsidP="009A4FEC">
            <w:pPr>
              <w:pStyle w:val="NoSpacing"/>
              <w:ind w:left="25" w:right="-108"/>
              <w:rPr>
                <w:rFonts w:ascii="Arial" w:hAnsi="Arial" w:cs="Arial"/>
              </w:rPr>
            </w:pPr>
          </w:p>
          <w:p w14:paraId="53A9BC01" w14:textId="77777777" w:rsidR="00893D11" w:rsidRDefault="00893D11" w:rsidP="009A4FEC">
            <w:pPr>
              <w:pStyle w:val="NoSpacing"/>
              <w:ind w:left="25" w:right="-108"/>
              <w:rPr>
                <w:rFonts w:ascii="Arial" w:hAnsi="Arial" w:cs="Arial"/>
              </w:rPr>
            </w:pPr>
          </w:p>
          <w:p w14:paraId="26E6F557" w14:textId="77777777" w:rsidR="0067653F" w:rsidRDefault="0067653F" w:rsidP="009A4FEC">
            <w:pPr>
              <w:pStyle w:val="NoSpacing"/>
              <w:ind w:left="25" w:right="-108"/>
              <w:rPr>
                <w:rFonts w:ascii="Arial" w:hAnsi="Arial" w:cs="Arial"/>
              </w:rPr>
            </w:pPr>
          </w:p>
          <w:p w14:paraId="24605BBC" w14:textId="77777777" w:rsidR="0067653F" w:rsidRDefault="0067653F" w:rsidP="009A4FEC">
            <w:pPr>
              <w:pStyle w:val="NoSpacing"/>
              <w:ind w:left="25" w:right="-108"/>
              <w:rPr>
                <w:rFonts w:ascii="Arial" w:hAnsi="Arial" w:cs="Arial"/>
              </w:rPr>
            </w:pPr>
          </w:p>
          <w:p w14:paraId="6E5F1F7B" w14:textId="0F11E716" w:rsidR="0067653F" w:rsidRDefault="0067653F" w:rsidP="009A4FEC">
            <w:pPr>
              <w:pStyle w:val="NoSpacing"/>
              <w:ind w:left="25" w:right="-108"/>
              <w:rPr>
                <w:rFonts w:ascii="Arial" w:hAnsi="Arial" w:cs="Arial"/>
              </w:rPr>
            </w:pPr>
            <w:r w:rsidRPr="00C24152">
              <w:rPr>
                <w:rFonts w:ascii="Arial" w:hAnsi="Arial" w:cs="Arial"/>
              </w:rPr>
              <w:t>Partially Implemented.</w:t>
            </w:r>
          </w:p>
          <w:p w14:paraId="238BA2B2" w14:textId="77777777" w:rsidR="0067653F" w:rsidRDefault="0067653F" w:rsidP="009A4FEC">
            <w:pPr>
              <w:pStyle w:val="NoSpacing"/>
              <w:ind w:left="25" w:right="-108"/>
              <w:rPr>
                <w:rFonts w:ascii="Arial" w:hAnsi="Arial" w:cs="Arial"/>
              </w:rPr>
            </w:pPr>
          </w:p>
          <w:p w14:paraId="29592942" w14:textId="03095E14" w:rsidR="0067653F" w:rsidRDefault="0067653F">
            <w:pPr>
              <w:pStyle w:val="NoSpacing"/>
              <w:ind w:left="25"/>
              <w:rPr>
                <w:rFonts w:ascii="Arial" w:hAnsi="Arial" w:cs="Arial"/>
              </w:rPr>
            </w:pPr>
            <w:r w:rsidRPr="0067653F">
              <w:rPr>
                <w:rFonts w:ascii="Arial" w:hAnsi="Arial" w:cs="Arial"/>
              </w:rPr>
              <w:t>The amount of P5</w:t>
            </w:r>
            <w:r w:rsidR="00DD2510">
              <w:rPr>
                <w:rFonts w:ascii="Arial" w:hAnsi="Arial" w:cs="Arial"/>
              </w:rPr>
              <w:t xml:space="preserve"> million </w:t>
            </w:r>
            <w:r w:rsidRPr="0067653F">
              <w:rPr>
                <w:rFonts w:ascii="Arial" w:hAnsi="Arial" w:cs="Arial"/>
              </w:rPr>
              <w:t xml:space="preserve">has already been included in the COB </w:t>
            </w:r>
            <w:r w:rsidR="009B783C">
              <w:rPr>
                <w:rFonts w:ascii="Arial" w:hAnsi="Arial" w:cs="Arial"/>
              </w:rPr>
              <w:t xml:space="preserve">for CY </w:t>
            </w:r>
            <w:r w:rsidRPr="0067653F">
              <w:rPr>
                <w:rFonts w:ascii="Arial" w:hAnsi="Arial" w:cs="Arial"/>
              </w:rPr>
              <w:t>2018</w:t>
            </w:r>
            <w:r w:rsidR="00A01CC4">
              <w:rPr>
                <w:rFonts w:ascii="Arial" w:hAnsi="Arial" w:cs="Arial"/>
              </w:rPr>
              <w:t>, however, due to the pandemic Man</w:t>
            </w:r>
            <w:r w:rsidR="008419E1">
              <w:rPr>
                <w:rFonts w:ascii="Arial" w:hAnsi="Arial" w:cs="Arial"/>
              </w:rPr>
              <w:t>a</w:t>
            </w:r>
            <w:r w:rsidR="00A01CC4">
              <w:rPr>
                <w:rFonts w:ascii="Arial" w:hAnsi="Arial" w:cs="Arial"/>
              </w:rPr>
              <w:t>gement put on hold the pa</w:t>
            </w:r>
            <w:r w:rsidR="008419E1">
              <w:rPr>
                <w:rFonts w:ascii="Arial" w:hAnsi="Arial" w:cs="Arial"/>
              </w:rPr>
              <w:t>y</w:t>
            </w:r>
            <w:r w:rsidR="00A01CC4">
              <w:rPr>
                <w:rFonts w:ascii="Arial" w:hAnsi="Arial" w:cs="Arial"/>
              </w:rPr>
              <w:t>ment to support tobacco farmers in terms of production</w:t>
            </w:r>
            <w:r w:rsidR="008419E1">
              <w:rPr>
                <w:rFonts w:ascii="Arial" w:hAnsi="Arial" w:cs="Arial"/>
              </w:rPr>
              <w:t xml:space="preserve"> assistance. </w:t>
            </w:r>
            <w:r w:rsidR="00DF0D3E">
              <w:rPr>
                <w:rFonts w:ascii="Arial" w:hAnsi="Arial" w:cs="Arial"/>
              </w:rPr>
              <w:t xml:space="preserve">Management </w:t>
            </w:r>
            <w:r w:rsidRPr="0067653F">
              <w:rPr>
                <w:rFonts w:ascii="Arial" w:hAnsi="Arial" w:cs="Arial"/>
              </w:rPr>
              <w:t>had a meeting with PDIC officials of the Loans Management Department on October 11, 2019. PDIC will update the survey which was conducted in 2011 and present to the Board the request</w:t>
            </w:r>
            <w:r w:rsidR="00DF0D3E">
              <w:rPr>
                <w:rFonts w:ascii="Arial" w:hAnsi="Arial" w:cs="Arial"/>
              </w:rPr>
              <w:t xml:space="preserve"> of NTA dated March 27, 2019,</w:t>
            </w:r>
            <w:r w:rsidRPr="0067653F">
              <w:rPr>
                <w:rFonts w:ascii="Arial" w:hAnsi="Arial" w:cs="Arial"/>
              </w:rPr>
              <w:t xml:space="preserve"> of condonation of penalty and lowering of interest on the loan. Management is still awaiting for the PDIC approval.</w:t>
            </w:r>
          </w:p>
        </w:tc>
      </w:tr>
    </w:tbl>
    <w:p w14:paraId="0DCC3C05" w14:textId="77777777" w:rsidR="006205A7" w:rsidRDefault="00A06B15" w:rsidP="006205A7">
      <w:pPr>
        <w:pStyle w:val="NoSpacing"/>
        <w:pBdr>
          <w:top w:val="single" w:sz="4" w:space="1" w:color="auto"/>
        </w:pBdr>
      </w:pPr>
      <w:r>
        <w:t xml:space="preserve"> </w:t>
      </w:r>
    </w:p>
    <w:p w14:paraId="6F27467C" w14:textId="77777777" w:rsidR="0086238C" w:rsidRDefault="0086238C" w:rsidP="00BC7B11"/>
    <w:p w14:paraId="541858DC" w14:textId="68685D57" w:rsidR="000A60C3" w:rsidRDefault="000A60C3" w:rsidP="00BC7B11">
      <w:pPr>
        <w:tabs>
          <w:tab w:val="left" w:pos="3070"/>
        </w:tabs>
      </w:pPr>
    </w:p>
    <w:sectPr w:rsidR="000A60C3" w:rsidSect="001D6CCE">
      <w:footerReference w:type="default" r:id="rId8"/>
      <w:pgSz w:w="12240" w:h="15840" w:code="1"/>
      <w:pgMar w:top="1440" w:right="1440" w:bottom="1276" w:left="1440" w:header="720" w:footer="720" w:gutter="720"/>
      <w:paperSrc w:first="15" w:other="15"/>
      <w:pgNumType w:start="7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662826" w14:textId="77777777" w:rsidR="008C332E" w:rsidRDefault="008C332E" w:rsidP="00EF4A9E">
      <w:pPr>
        <w:spacing w:after="0" w:line="240" w:lineRule="auto"/>
      </w:pPr>
      <w:r>
        <w:separator/>
      </w:r>
    </w:p>
  </w:endnote>
  <w:endnote w:type="continuationSeparator" w:id="0">
    <w:p w14:paraId="3D7D4D5E" w14:textId="77777777" w:rsidR="008C332E" w:rsidRDefault="008C332E" w:rsidP="00EF4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1324047068"/>
      <w:docPartObj>
        <w:docPartGallery w:val="Page Numbers (Bottom of Page)"/>
        <w:docPartUnique/>
      </w:docPartObj>
    </w:sdtPr>
    <w:sdtEndPr>
      <w:rPr>
        <w:noProof/>
      </w:rPr>
    </w:sdtEndPr>
    <w:sdtContent>
      <w:p w14:paraId="4CEE2B8B" w14:textId="12692349" w:rsidR="002149BD" w:rsidRPr="00647717" w:rsidRDefault="0086238C">
        <w:pPr>
          <w:pStyle w:val="Footer"/>
          <w:jc w:val="right"/>
          <w:rPr>
            <w:rFonts w:ascii="Arial" w:hAnsi="Arial" w:cs="Arial"/>
            <w:sz w:val="20"/>
            <w:szCs w:val="20"/>
          </w:rPr>
        </w:pPr>
        <w:r w:rsidRPr="00647717">
          <w:rPr>
            <w:rFonts w:ascii="Arial" w:hAnsi="Arial" w:cs="Arial"/>
            <w:sz w:val="20"/>
            <w:szCs w:val="20"/>
          </w:rPr>
          <w:fldChar w:fldCharType="begin"/>
        </w:r>
        <w:r w:rsidR="002149BD" w:rsidRPr="00647717">
          <w:rPr>
            <w:rFonts w:ascii="Arial" w:hAnsi="Arial" w:cs="Arial"/>
            <w:sz w:val="20"/>
            <w:szCs w:val="20"/>
          </w:rPr>
          <w:instrText xml:space="preserve"> PAGE   \* MERGEFORMAT </w:instrText>
        </w:r>
        <w:r w:rsidRPr="00647717">
          <w:rPr>
            <w:rFonts w:ascii="Arial" w:hAnsi="Arial" w:cs="Arial"/>
            <w:sz w:val="20"/>
            <w:szCs w:val="20"/>
          </w:rPr>
          <w:fldChar w:fldCharType="separate"/>
        </w:r>
        <w:r w:rsidR="004A5045">
          <w:rPr>
            <w:rFonts w:ascii="Arial" w:hAnsi="Arial" w:cs="Arial"/>
            <w:noProof/>
            <w:sz w:val="20"/>
            <w:szCs w:val="20"/>
          </w:rPr>
          <w:t>73</w:t>
        </w:r>
        <w:r w:rsidRPr="00647717">
          <w:rPr>
            <w:rFonts w:ascii="Arial" w:hAnsi="Arial" w:cs="Arial"/>
            <w:noProof/>
            <w:sz w:val="20"/>
            <w:szCs w:val="20"/>
          </w:rPr>
          <w:fldChar w:fldCharType="end"/>
        </w:r>
      </w:p>
    </w:sdtContent>
  </w:sdt>
  <w:p w14:paraId="68095C2B" w14:textId="77777777" w:rsidR="002149BD" w:rsidRDefault="002149BD" w:rsidP="0032549C">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9D050F" w14:textId="77777777" w:rsidR="008C332E" w:rsidRDefault="008C332E" w:rsidP="00EF4A9E">
      <w:pPr>
        <w:spacing w:after="0" w:line="240" w:lineRule="auto"/>
      </w:pPr>
      <w:r>
        <w:separator/>
      </w:r>
    </w:p>
  </w:footnote>
  <w:footnote w:type="continuationSeparator" w:id="0">
    <w:p w14:paraId="2258B7B1" w14:textId="77777777" w:rsidR="008C332E" w:rsidRDefault="008C332E" w:rsidP="00EF4A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C456B758"/>
    <w:lvl w:ilvl="0">
      <w:start w:val="1"/>
      <w:numFmt w:val="decimal"/>
      <w:lvlText w:val="%1."/>
      <w:lvlJc w:val="left"/>
      <w:pPr>
        <w:ind w:left="720" w:hanging="360"/>
      </w:pPr>
      <w:rPr>
        <w:rFonts w:hint="default"/>
        <w:b w:val="0"/>
        <w:bCs w:val="0"/>
        <w:i w:val="0"/>
        <w:color w:val="000000"/>
      </w:rPr>
    </w:lvl>
    <w:lvl w:ilvl="1">
      <w:start w:val="1"/>
      <w:numFmt w:val="decimal"/>
      <w:isLgl/>
      <w:lvlText w:val="%1.%2"/>
      <w:lvlJc w:val="left"/>
      <w:pPr>
        <w:ind w:left="360" w:hanging="360"/>
      </w:pPr>
      <w:rPr>
        <w:rFonts w:hint="default"/>
        <w:i w:val="0"/>
        <w:color w:val="00000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000001A"/>
    <w:multiLevelType w:val="hybridMultilevel"/>
    <w:tmpl w:val="64B2666E"/>
    <w:lvl w:ilvl="0" w:tplc="B238A1C4">
      <w:start w:val="1"/>
      <w:numFmt w:val="decimal"/>
      <w:lvlText w:val="b.%1"/>
      <w:lvlJc w:val="left"/>
      <w:pPr>
        <w:ind w:left="720" w:hanging="360"/>
      </w:pPr>
      <w:rPr>
        <w:rFonts w:hint="default"/>
      </w:rPr>
    </w:lvl>
    <w:lvl w:ilvl="1" w:tplc="B238A1C4">
      <w:start w:val="1"/>
      <w:numFmt w:val="decimal"/>
      <w:lvlText w:val="b.%2"/>
      <w:lvlJc w:val="left"/>
      <w:pPr>
        <w:ind w:left="1440" w:hanging="36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15:restartNumberingAfterBreak="0">
    <w:nsid w:val="00696E54"/>
    <w:multiLevelType w:val="multilevel"/>
    <w:tmpl w:val="428C4864"/>
    <w:styleLink w:val="Style5"/>
    <w:lvl w:ilvl="0">
      <w:start w:val="1"/>
      <w:numFmt w:val="lowerLetter"/>
      <w:lvlText w:val="%1."/>
      <w:lvlJc w:val="left"/>
      <w:pPr>
        <w:ind w:left="1440" w:hanging="360"/>
      </w:pPr>
      <w:rPr>
        <w:rFonts w:ascii="Arial" w:hAnsi="Arial" w:cs="Arial" w:hint="default"/>
        <w:b/>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15:restartNumberingAfterBreak="0">
    <w:nsid w:val="021A427F"/>
    <w:multiLevelType w:val="hybridMultilevel"/>
    <w:tmpl w:val="6568BFCA"/>
    <w:lvl w:ilvl="0" w:tplc="4E80F784">
      <w:start w:val="1"/>
      <w:numFmt w:val="lowerLetter"/>
      <w:lvlText w:val="%1."/>
      <w:lvlJc w:val="left"/>
      <w:pPr>
        <w:ind w:left="720" w:hanging="360"/>
      </w:pPr>
      <w:rPr>
        <w:rFonts w:hint="default"/>
        <w:b w:val="0"/>
        <w:bCs/>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15:restartNumberingAfterBreak="0">
    <w:nsid w:val="02605E86"/>
    <w:multiLevelType w:val="multilevel"/>
    <w:tmpl w:val="39888B34"/>
    <w:lvl w:ilvl="0">
      <w:start w:val="1"/>
      <w:numFmt w:val="decimal"/>
      <w:lvlText w:val="%1."/>
      <w:lvlJc w:val="left"/>
      <w:pPr>
        <w:ind w:left="720" w:hanging="360"/>
      </w:pPr>
      <w:rPr>
        <w:rFonts w:ascii="Arial" w:hAnsi="Arial" w:cs="Arial" w:hint="default"/>
        <w:b/>
        <w:i w:val="0"/>
        <w:color w:val="000000" w:themeColor="text1"/>
      </w:rPr>
    </w:lvl>
    <w:lvl w:ilvl="1">
      <w:start w:val="1"/>
      <w:numFmt w:val="decimal"/>
      <w:isLgl/>
      <w:lvlText w:val="%1.%2"/>
      <w:lvlJc w:val="left"/>
      <w:pPr>
        <w:ind w:left="735" w:hanging="375"/>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3364B77"/>
    <w:multiLevelType w:val="multilevel"/>
    <w:tmpl w:val="EE7A8596"/>
    <w:lvl w:ilvl="0">
      <w:start w:val="1"/>
      <w:numFmt w:val="decimal"/>
      <w:lvlText w:val="%1."/>
      <w:lvlJc w:val="left"/>
      <w:pPr>
        <w:ind w:left="720" w:hanging="360"/>
      </w:pPr>
      <w:rPr>
        <w:rFonts w:hint="default"/>
        <w:b/>
        <w:i w:val="0"/>
        <w:color w:val="000000" w:themeColor="text1"/>
      </w:rPr>
    </w:lvl>
    <w:lvl w:ilvl="1">
      <w:start w:val="1"/>
      <w:numFmt w:val="decimal"/>
      <w:lvlText w:val="2.%2"/>
      <w:lvlJc w:val="left"/>
      <w:pPr>
        <w:ind w:left="720" w:hanging="360"/>
      </w:pPr>
      <w:rPr>
        <w:rFonts w:hint="default"/>
        <w:i w:val="0"/>
        <w:color w:val="000000" w:themeColor="tex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AC97AB1"/>
    <w:multiLevelType w:val="hybridMultilevel"/>
    <w:tmpl w:val="4AC287E6"/>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107F0A4E"/>
    <w:multiLevelType w:val="hybridMultilevel"/>
    <w:tmpl w:val="BC964AEA"/>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15:restartNumberingAfterBreak="0">
    <w:nsid w:val="11CC6830"/>
    <w:multiLevelType w:val="hybridMultilevel"/>
    <w:tmpl w:val="2466A838"/>
    <w:lvl w:ilvl="0" w:tplc="34090019">
      <w:start w:val="1"/>
      <w:numFmt w:val="lowerLetter"/>
      <w:lvlText w:val="%1."/>
      <w:lvlJc w:val="left"/>
      <w:pPr>
        <w:ind w:left="1080" w:hanging="360"/>
      </w:pPr>
      <w:rPr>
        <w:rFonts w:hint="default"/>
        <w:sz w:val="22"/>
        <w:szCs w:val="22"/>
      </w:rPr>
    </w:lvl>
    <w:lvl w:ilvl="1" w:tplc="DFD0CA3A">
      <w:start w:val="1"/>
      <w:numFmt w:val="lowerLetter"/>
      <w:lvlText w:val="%2."/>
      <w:lvlJc w:val="left"/>
      <w:pPr>
        <w:ind w:left="3905" w:hanging="360"/>
      </w:pPr>
      <w:rPr>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2C660B0"/>
    <w:multiLevelType w:val="multilevel"/>
    <w:tmpl w:val="0218C9A6"/>
    <w:lvl w:ilvl="0">
      <w:start w:val="1"/>
      <w:numFmt w:val="decimal"/>
      <w:lvlText w:val="%1."/>
      <w:lvlJc w:val="left"/>
      <w:pPr>
        <w:ind w:left="720" w:hanging="360"/>
      </w:pPr>
      <w:rPr>
        <w:rFonts w:hint="default"/>
        <w:b/>
        <w:i w:val="0"/>
        <w:color w:val="000000" w:themeColor="text1"/>
      </w:rPr>
    </w:lvl>
    <w:lvl w:ilvl="1">
      <w:start w:val="1"/>
      <w:numFmt w:val="decimal"/>
      <w:lvlText w:val="9.%2"/>
      <w:lvlJc w:val="left"/>
      <w:pPr>
        <w:ind w:left="720" w:hanging="360"/>
      </w:pPr>
      <w:rPr>
        <w:rFonts w:hint="default"/>
        <w:i w:val="0"/>
        <w:color w:val="000000" w:themeColor="tex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5157487"/>
    <w:multiLevelType w:val="hybridMultilevel"/>
    <w:tmpl w:val="E6AC0FB4"/>
    <w:lvl w:ilvl="0" w:tplc="C37AD2FE">
      <w:start w:val="1"/>
      <w:numFmt w:val="decimal"/>
      <w:lvlText w:val="7.%1"/>
      <w:lvlJc w:val="left"/>
      <w:pPr>
        <w:ind w:left="720" w:hanging="360"/>
      </w:pPr>
      <w:rPr>
        <w:rFonts w:eastAsiaTheme="minorHAnsi" w:hint="default"/>
        <w:i w:val="0"/>
        <w:color w:val="000000" w:themeColor="text1"/>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15:restartNumberingAfterBreak="0">
    <w:nsid w:val="1658563B"/>
    <w:multiLevelType w:val="hybridMultilevel"/>
    <w:tmpl w:val="942AAAFC"/>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19B14ADF"/>
    <w:multiLevelType w:val="multilevel"/>
    <w:tmpl w:val="662897CC"/>
    <w:lvl w:ilvl="0">
      <w:start w:val="1"/>
      <w:numFmt w:val="decimal"/>
      <w:lvlText w:val="%1."/>
      <w:lvlJc w:val="left"/>
      <w:pPr>
        <w:ind w:left="720" w:hanging="360"/>
      </w:pPr>
      <w:rPr>
        <w:rFonts w:hint="default"/>
        <w:b/>
        <w:i w:val="0"/>
        <w:color w:val="000000" w:themeColor="text1"/>
      </w:rPr>
    </w:lvl>
    <w:lvl w:ilvl="1">
      <w:start w:val="1"/>
      <w:numFmt w:val="decimal"/>
      <w:lvlText w:val="3.%2"/>
      <w:lvlJc w:val="left"/>
      <w:pPr>
        <w:ind w:left="720" w:hanging="360"/>
      </w:pPr>
      <w:rPr>
        <w:rFonts w:hint="default"/>
        <w:i w:val="0"/>
        <w:color w:val="000000" w:themeColor="tex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CA06A3A"/>
    <w:multiLevelType w:val="hybridMultilevel"/>
    <w:tmpl w:val="FBE4E80C"/>
    <w:lvl w:ilvl="0" w:tplc="A3FEF7F2">
      <w:start w:val="1"/>
      <w:numFmt w:val="lowerLetter"/>
      <w:lvlText w:val="%1."/>
      <w:lvlJc w:val="left"/>
      <w:pPr>
        <w:ind w:left="720" w:hanging="360"/>
      </w:pPr>
      <w:rPr>
        <w:rFonts w:hint="default"/>
        <w:b w:val="0"/>
        <w:bCs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 w15:restartNumberingAfterBreak="0">
    <w:nsid w:val="29611D9B"/>
    <w:multiLevelType w:val="hybridMultilevel"/>
    <w:tmpl w:val="0D861E86"/>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2FC306EC"/>
    <w:multiLevelType w:val="hybridMultilevel"/>
    <w:tmpl w:val="A11067E2"/>
    <w:lvl w:ilvl="0" w:tplc="04849348">
      <w:start w:val="1"/>
      <w:numFmt w:val="decimal"/>
      <w:lvlText w:val="4.%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3073626C"/>
    <w:multiLevelType w:val="hybridMultilevel"/>
    <w:tmpl w:val="E6D4D5EC"/>
    <w:lvl w:ilvl="0" w:tplc="54F24502">
      <w:start w:val="1"/>
      <w:numFmt w:val="decimal"/>
      <w:lvlText w:val="b.%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30804C08"/>
    <w:multiLevelType w:val="multilevel"/>
    <w:tmpl w:val="C456B758"/>
    <w:lvl w:ilvl="0">
      <w:start w:val="1"/>
      <w:numFmt w:val="decimal"/>
      <w:lvlText w:val="%1."/>
      <w:lvlJc w:val="left"/>
      <w:pPr>
        <w:ind w:left="720" w:hanging="360"/>
      </w:pPr>
      <w:rPr>
        <w:rFonts w:hint="default"/>
        <w:b w:val="0"/>
        <w:bCs w:val="0"/>
        <w:i w:val="0"/>
        <w:color w:val="000000"/>
      </w:rPr>
    </w:lvl>
    <w:lvl w:ilvl="1">
      <w:start w:val="1"/>
      <w:numFmt w:val="decimal"/>
      <w:isLgl/>
      <w:lvlText w:val="%1.%2"/>
      <w:lvlJc w:val="left"/>
      <w:pPr>
        <w:ind w:left="360" w:hanging="360"/>
      </w:pPr>
      <w:rPr>
        <w:rFonts w:hint="default"/>
        <w:i w:val="0"/>
        <w:color w:val="00000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0D056EF"/>
    <w:multiLevelType w:val="hybridMultilevel"/>
    <w:tmpl w:val="3D08B020"/>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15:restartNumberingAfterBreak="0">
    <w:nsid w:val="30D3547B"/>
    <w:multiLevelType w:val="hybridMultilevel"/>
    <w:tmpl w:val="8FCC182A"/>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31F71D19"/>
    <w:multiLevelType w:val="hybridMultilevel"/>
    <w:tmpl w:val="4C0CD302"/>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1" w15:restartNumberingAfterBreak="0">
    <w:nsid w:val="34183624"/>
    <w:multiLevelType w:val="hybridMultilevel"/>
    <w:tmpl w:val="6568BFCA"/>
    <w:lvl w:ilvl="0" w:tplc="4E80F784">
      <w:start w:val="1"/>
      <w:numFmt w:val="lowerLetter"/>
      <w:lvlText w:val="%1."/>
      <w:lvlJc w:val="left"/>
      <w:pPr>
        <w:ind w:left="720" w:hanging="360"/>
      </w:pPr>
      <w:rPr>
        <w:rFonts w:hint="default"/>
        <w:b w:val="0"/>
        <w:bCs/>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2" w15:restartNumberingAfterBreak="0">
    <w:nsid w:val="37642B40"/>
    <w:multiLevelType w:val="multilevel"/>
    <w:tmpl w:val="1528E504"/>
    <w:lvl w:ilvl="0">
      <w:start w:val="14"/>
      <w:numFmt w:val="decimal"/>
      <w:lvlText w:val="%1."/>
      <w:lvlJc w:val="left"/>
      <w:pPr>
        <w:ind w:left="720" w:hanging="360"/>
      </w:pPr>
      <w:rPr>
        <w:rFonts w:hint="default"/>
        <w:b/>
        <w:i w:val="0"/>
        <w:color w:val="000000"/>
      </w:rPr>
    </w:lvl>
    <w:lvl w:ilvl="1">
      <w:start w:val="1"/>
      <w:numFmt w:val="decimal"/>
      <w:isLgl/>
      <w:lvlText w:val="%1.%2"/>
      <w:lvlJc w:val="left"/>
      <w:pPr>
        <w:ind w:left="360" w:hanging="360"/>
      </w:pPr>
      <w:rPr>
        <w:rFonts w:hint="default"/>
        <w:i w:val="0"/>
        <w:color w:val="00000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8EE5303"/>
    <w:multiLevelType w:val="multilevel"/>
    <w:tmpl w:val="C456B758"/>
    <w:lvl w:ilvl="0">
      <w:start w:val="1"/>
      <w:numFmt w:val="decimal"/>
      <w:lvlText w:val="%1."/>
      <w:lvlJc w:val="left"/>
      <w:pPr>
        <w:ind w:left="720" w:hanging="360"/>
      </w:pPr>
      <w:rPr>
        <w:rFonts w:hint="default"/>
        <w:b w:val="0"/>
        <w:bCs w:val="0"/>
        <w:i w:val="0"/>
        <w:color w:val="000000"/>
      </w:rPr>
    </w:lvl>
    <w:lvl w:ilvl="1">
      <w:start w:val="1"/>
      <w:numFmt w:val="decimal"/>
      <w:isLgl/>
      <w:lvlText w:val="%1.%2"/>
      <w:lvlJc w:val="left"/>
      <w:pPr>
        <w:ind w:left="360" w:hanging="360"/>
      </w:pPr>
      <w:rPr>
        <w:rFonts w:hint="default"/>
        <w:i w:val="0"/>
        <w:color w:val="00000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A631863"/>
    <w:multiLevelType w:val="hybridMultilevel"/>
    <w:tmpl w:val="F1AA8B4C"/>
    <w:lvl w:ilvl="0" w:tplc="4E243D0A">
      <w:start w:val="1"/>
      <w:numFmt w:val="decimal"/>
      <w:lvlText w:val="a.%1"/>
      <w:lvlJc w:val="left"/>
      <w:pPr>
        <w:ind w:left="1800" w:hanging="360"/>
      </w:pPr>
      <w:rPr>
        <w:rFonts w:hint="default"/>
      </w:rPr>
    </w:lvl>
    <w:lvl w:ilvl="1" w:tplc="34090019" w:tentative="1">
      <w:start w:val="1"/>
      <w:numFmt w:val="lowerLetter"/>
      <w:lvlText w:val="%2."/>
      <w:lvlJc w:val="left"/>
      <w:pPr>
        <w:ind w:left="1422" w:hanging="360"/>
      </w:pPr>
    </w:lvl>
    <w:lvl w:ilvl="2" w:tplc="3409001B" w:tentative="1">
      <w:start w:val="1"/>
      <w:numFmt w:val="lowerRoman"/>
      <w:lvlText w:val="%3."/>
      <w:lvlJc w:val="right"/>
      <w:pPr>
        <w:ind w:left="2142" w:hanging="180"/>
      </w:pPr>
    </w:lvl>
    <w:lvl w:ilvl="3" w:tplc="3409000F" w:tentative="1">
      <w:start w:val="1"/>
      <w:numFmt w:val="decimal"/>
      <w:lvlText w:val="%4."/>
      <w:lvlJc w:val="left"/>
      <w:pPr>
        <w:ind w:left="2862" w:hanging="360"/>
      </w:pPr>
    </w:lvl>
    <w:lvl w:ilvl="4" w:tplc="34090019" w:tentative="1">
      <w:start w:val="1"/>
      <w:numFmt w:val="lowerLetter"/>
      <w:lvlText w:val="%5."/>
      <w:lvlJc w:val="left"/>
      <w:pPr>
        <w:ind w:left="3582" w:hanging="360"/>
      </w:pPr>
    </w:lvl>
    <w:lvl w:ilvl="5" w:tplc="3409001B" w:tentative="1">
      <w:start w:val="1"/>
      <w:numFmt w:val="lowerRoman"/>
      <w:lvlText w:val="%6."/>
      <w:lvlJc w:val="right"/>
      <w:pPr>
        <w:ind w:left="4302" w:hanging="180"/>
      </w:pPr>
    </w:lvl>
    <w:lvl w:ilvl="6" w:tplc="3409000F" w:tentative="1">
      <w:start w:val="1"/>
      <w:numFmt w:val="decimal"/>
      <w:lvlText w:val="%7."/>
      <w:lvlJc w:val="left"/>
      <w:pPr>
        <w:ind w:left="5022" w:hanging="360"/>
      </w:pPr>
    </w:lvl>
    <w:lvl w:ilvl="7" w:tplc="34090019" w:tentative="1">
      <w:start w:val="1"/>
      <w:numFmt w:val="lowerLetter"/>
      <w:lvlText w:val="%8."/>
      <w:lvlJc w:val="left"/>
      <w:pPr>
        <w:ind w:left="5742" w:hanging="360"/>
      </w:pPr>
    </w:lvl>
    <w:lvl w:ilvl="8" w:tplc="3409001B" w:tentative="1">
      <w:start w:val="1"/>
      <w:numFmt w:val="lowerRoman"/>
      <w:lvlText w:val="%9."/>
      <w:lvlJc w:val="right"/>
      <w:pPr>
        <w:ind w:left="6462" w:hanging="180"/>
      </w:pPr>
    </w:lvl>
  </w:abstractNum>
  <w:abstractNum w:abstractNumId="25" w15:restartNumberingAfterBreak="0">
    <w:nsid w:val="3B2A6939"/>
    <w:multiLevelType w:val="hybridMultilevel"/>
    <w:tmpl w:val="98E40086"/>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15:restartNumberingAfterBreak="0">
    <w:nsid w:val="3D7C7BFD"/>
    <w:multiLevelType w:val="hybridMultilevel"/>
    <w:tmpl w:val="CFB26366"/>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7" w15:restartNumberingAfterBreak="0">
    <w:nsid w:val="41785C37"/>
    <w:multiLevelType w:val="hybridMultilevel"/>
    <w:tmpl w:val="6568BFCA"/>
    <w:lvl w:ilvl="0" w:tplc="4E80F784">
      <w:start w:val="1"/>
      <w:numFmt w:val="lowerLetter"/>
      <w:lvlText w:val="%1."/>
      <w:lvlJc w:val="left"/>
      <w:pPr>
        <w:ind w:left="720" w:hanging="360"/>
      </w:pPr>
      <w:rPr>
        <w:rFonts w:hint="default"/>
        <w:b w:val="0"/>
        <w:bCs/>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8" w15:restartNumberingAfterBreak="0">
    <w:nsid w:val="47942E73"/>
    <w:multiLevelType w:val="hybridMultilevel"/>
    <w:tmpl w:val="433471B6"/>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9" w15:restartNumberingAfterBreak="0">
    <w:nsid w:val="50790A77"/>
    <w:multiLevelType w:val="hybridMultilevel"/>
    <w:tmpl w:val="A34E66E2"/>
    <w:lvl w:ilvl="0" w:tplc="9664E848">
      <w:start w:val="1"/>
      <w:numFmt w:val="decimal"/>
      <w:lvlText w:val="a.%1"/>
      <w:lvlJc w:val="left"/>
      <w:pPr>
        <w:ind w:left="1440" w:hanging="360"/>
      </w:pPr>
      <w:rPr>
        <w:rFonts w:hint="default"/>
      </w:rPr>
    </w:lvl>
    <w:lvl w:ilvl="1" w:tplc="48B0DE1A">
      <w:start w:val="1"/>
      <w:numFmt w:val="decimal"/>
      <w:lvlText w:val="a.%2"/>
      <w:lvlJc w:val="left"/>
      <w:pPr>
        <w:ind w:left="1440" w:hanging="360"/>
      </w:pPr>
      <w:rPr>
        <w:rFonts w:hint="default"/>
      </w:rPr>
    </w:lvl>
    <w:lvl w:ilvl="2" w:tplc="4ACCD000">
      <w:start w:val="1"/>
      <w:numFmt w:val="decimal"/>
      <w:lvlText w:val="%3."/>
      <w:lvlJc w:val="left"/>
      <w:pPr>
        <w:ind w:left="2340" w:hanging="360"/>
      </w:pPr>
      <w:rPr>
        <w:rFonts w:hint="default"/>
        <w:b w:val="0"/>
      </w:r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15:restartNumberingAfterBreak="0">
    <w:nsid w:val="53760ABF"/>
    <w:multiLevelType w:val="hybridMultilevel"/>
    <w:tmpl w:val="B8A08800"/>
    <w:lvl w:ilvl="0" w:tplc="5BA8D200">
      <w:start w:val="1"/>
      <w:numFmt w:val="decimal"/>
      <w:lvlText w:val="d.%1"/>
      <w:lvlJc w:val="left"/>
      <w:pPr>
        <w:ind w:left="1800" w:hanging="360"/>
      </w:pPr>
      <w:rPr>
        <w:rFonts w:hint="default"/>
      </w:rPr>
    </w:lvl>
    <w:lvl w:ilvl="1" w:tplc="34090019" w:tentative="1">
      <w:start w:val="1"/>
      <w:numFmt w:val="low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31" w15:restartNumberingAfterBreak="0">
    <w:nsid w:val="5B2866BB"/>
    <w:multiLevelType w:val="hybridMultilevel"/>
    <w:tmpl w:val="F9CCC242"/>
    <w:lvl w:ilvl="0" w:tplc="E926DCE6">
      <w:start w:val="1"/>
      <w:numFmt w:val="decimal"/>
      <w:lvlText w:val="5.%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2" w15:restartNumberingAfterBreak="0">
    <w:nsid w:val="5BB448BC"/>
    <w:multiLevelType w:val="hybridMultilevel"/>
    <w:tmpl w:val="BEFAF114"/>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3" w15:restartNumberingAfterBreak="0">
    <w:nsid w:val="5FBD33A1"/>
    <w:multiLevelType w:val="hybridMultilevel"/>
    <w:tmpl w:val="BC964AEA"/>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15:restartNumberingAfterBreak="0">
    <w:nsid w:val="617210B8"/>
    <w:multiLevelType w:val="hybridMultilevel"/>
    <w:tmpl w:val="61CC2DC6"/>
    <w:lvl w:ilvl="0" w:tplc="1420663C">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5" w15:restartNumberingAfterBreak="0">
    <w:nsid w:val="61FF41DB"/>
    <w:multiLevelType w:val="hybridMultilevel"/>
    <w:tmpl w:val="D0E45490"/>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6" w15:restartNumberingAfterBreak="0">
    <w:nsid w:val="63ED3A6D"/>
    <w:multiLevelType w:val="hybridMultilevel"/>
    <w:tmpl w:val="AE962582"/>
    <w:lvl w:ilvl="0" w:tplc="76F06CA8">
      <w:start w:val="1"/>
      <w:numFmt w:val="lowerLetter"/>
      <w:lvlText w:val="%1."/>
      <w:lvlJc w:val="left"/>
      <w:pPr>
        <w:ind w:left="720" w:hanging="36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7" w15:restartNumberingAfterBreak="0">
    <w:nsid w:val="67BE3B28"/>
    <w:multiLevelType w:val="multilevel"/>
    <w:tmpl w:val="F000D682"/>
    <w:lvl w:ilvl="0">
      <w:start w:val="1"/>
      <w:numFmt w:val="decimal"/>
      <w:lvlText w:val="%1."/>
      <w:lvlJc w:val="left"/>
      <w:pPr>
        <w:ind w:left="720" w:hanging="360"/>
      </w:pPr>
      <w:rPr>
        <w:rFonts w:hint="default"/>
        <w:b/>
        <w:i w:val="0"/>
        <w:color w:val="000000" w:themeColor="text1"/>
      </w:rPr>
    </w:lvl>
    <w:lvl w:ilvl="1">
      <w:start w:val="1"/>
      <w:numFmt w:val="decimal"/>
      <w:lvlText w:val="6.%2"/>
      <w:lvlJc w:val="left"/>
      <w:pPr>
        <w:ind w:left="720" w:hanging="360"/>
      </w:pPr>
      <w:rPr>
        <w:rFonts w:hint="default"/>
        <w:i w:val="0"/>
        <w:color w:val="000000" w:themeColor="tex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86F4734"/>
    <w:multiLevelType w:val="hybridMultilevel"/>
    <w:tmpl w:val="F3FCA7BC"/>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9" w15:restartNumberingAfterBreak="0">
    <w:nsid w:val="68AE1760"/>
    <w:multiLevelType w:val="hybridMultilevel"/>
    <w:tmpl w:val="3D08B020"/>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0" w15:restartNumberingAfterBreak="0">
    <w:nsid w:val="707620E2"/>
    <w:multiLevelType w:val="hybridMultilevel"/>
    <w:tmpl w:val="C3F2A68C"/>
    <w:lvl w:ilvl="0" w:tplc="E1FC382E">
      <w:start w:val="1"/>
      <w:numFmt w:val="decimal"/>
      <w:lvlText w:val="c.%1"/>
      <w:lvlJc w:val="left"/>
      <w:pPr>
        <w:ind w:left="1070" w:hanging="360"/>
      </w:pPr>
      <w:rPr>
        <w:rFonts w:hint="default"/>
        <w:b w:val="0"/>
        <w:bCs w:val="0"/>
      </w:rPr>
    </w:lvl>
    <w:lvl w:ilvl="1" w:tplc="34090019" w:tentative="1">
      <w:start w:val="1"/>
      <w:numFmt w:val="low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41" w15:restartNumberingAfterBreak="0">
    <w:nsid w:val="7162049B"/>
    <w:multiLevelType w:val="hybridMultilevel"/>
    <w:tmpl w:val="63D8BCA2"/>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2" w15:restartNumberingAfterBreak="0">
    <w:nsid w:val="72951C5B"/>
    <w:multiLevelType w:val="hybridMultilevel"/>
    <w:tmpl w:val="ABC091A8"/>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3" w15:restartNumberingAfterBreak="0">
    <w:nsid w:val="77F36ED5"/>
    <w:multiLevelType w:val="multilevel"/>
    <w:tmpl w:val="C456B758"/>
    <w:lvl w:ilvl="0">
      <w:start w:val="1"/>
      <w:numFmt w:val="decimal"/>
      <w:lvlText w:val="%1."/>
      <w:lvlJc w:val="left"/>
      <w:pPr>
        <w:ind w:left="720" w:hanging="360"/>
      </w:pPr>
      <w:rPr>
        <w:rFonts w:hint="default"/>
        <w:b w:val="0"/>
        <w:bCs w:val="0"/>
        <w:i w:val="0"/>
        <w:color w:val="000000"/>
      </w:rPr>
    </w:lvl>
    <w:lvl w:ilvl="1">
      <w:start w:val="1"/>
      <w:numFmt w:val="decimal"/>
      <w:isLgl/>
      <w:lvlText w:val="%1.%2"/>
      <w:lvlJc w:val="left"/>
      <w:pPr>
        <w:ind w:left="360" w:hanging="360"/>
      </w:pPr>
      <w:rPr>
        <w:rFonts w:hint="default"/>
        <w:i w:val="0"/>
        <w:color w:val="00000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34"/>
  </w:num>
  <w:num w:numId="3">
    <w:abstractNumId w:val="28"/>
  </w:num>
  <w:num w:numId="4">
    <w:abstractNumId w:val="24"/>
  </w:num>
  <w:num w:numId="5">
    <w:abstractNumId w:val="16"/>
  </w:num>
  <w:num w:numId="6">
    <w:abstractNumId w:val="21"/>
  </w:num>
  <w:num w:numId="7">
    <w:abstractNumId w:val="11"/>
  </w:num>
  <w:num w:numId="8">
    <w:abstractNumId w:val="35"/>
  </w:num>
  <w:num w:numId="9">
    <w:abstractNumId w:val="19"/>
  </w:num>
  <w:num w:numId="10">
    <w:abstractNumId w:val="33"/>
  </w:num>
  <w:num w:numId="11">
    <w:abstractNumId w:val="25"/>
  </w:num>
  <w:num w:numId="12">
    <w:abstractNumId w:val="26"/>
  </w:num>
  <w:num w:numId="13">
    <w:abstractNumId w:val="20"/>
  </w:num>
  <w:num w:numId="14">
    <w:abstractNumId w:val="38"/>
  </w:num>
  <w:num w:numId="15">
    <w:abstractNumId w:val="18"/>
  </w:num>
  <w:num w:numId="16">
    <w:abstractNumId w:val="14"/>
  </w:num>
  <w:num w:numId="17">
    <w:abstractNumId w:val="39"/>
  </w:num>
  <w:num w:numId="18">
    <w:abstractNumId w:val="4"/>
  </w:num>
  <w:num w:numId="19">
    <w:abstractNumId w:val="8"/>
  </w:num>
  <w:num w:numId="20">
    <w:abstractNumId w:val="7"/>
  </w:num>
  <w:num w:numId="21">
    <w:abstractNumId w:val="0"/>
  </w:num>
  <w:num w:numId="22">
    <w:abstractNumId w:val="1"/>
  </w:num>
  <w:num w:numId="23">
    <w:abstractNumId w:val="17"/>
  </w:num>
  <w:num w:numId="24">
    <w:abstractNumId w:val="5"/>
  </w:num>
  <w:num w:numId="25">
    <w:abstractNumId w:val="41"/>
  </w:num>
  <w:num w:numId="26">
    <w:abstractNumId w:val="23"/>
  </w:num>
  <w:num w:numId="27">
    <w:abstractNumId w:val="13"/>
  </w:num>
  <w:num w:numId="28">
    <w:abstractNumId w:val="40"/>
  </w:num>
  <w:num w:numId="29">
    <w:abstractNumId w:val="30"/>
  </w:num>
  <w:num w:numId="30">
    <w:abstractNumId w:val="12"/>
  </w:num>
  <w:num w:numId="31">
    <w:abstractNumId w:val="15"/>
  </w:num>
  <w:num w:numId="32">
    <w:abstractNumId w:val="43"/>
  </w:num>
  <w:num w:numId="33">
    <w:abstractNumId w:val="31"/>
  </w:num>
  <w:num w:numId="34">
    <w:abstractNumId w:val="6"/>
  </w:num>
  <w:num w:numId="35">
    <w:abstractNumId w:val="37"/>
  </w:num>
  <w:num w:numId="36">
    <w:abstractNumId w:val="10"/>
  </w:num>
  <w:num w:numId="37">
    <w:abstractNumId w:val="32"/>
  </w:num>
  <w:num w:numId="38">
    <w:abstractNumId w:val="29"/>
  </w:num>
  <w:num w:numId="39">
    <w:abstractNumId w:val="42"/>
  </w:num>
  <w:num w:numId="40">
    <w:abstractNumId w:val="9"/>
  </w:num>
  <w:num w:numId="41">
    <w:abstractNumId w:val="22"/>
  </w:num>
  <w:num w:numId="42">
    <w:abstractNumId w:val="27"/>
  </w:num>
  <w:num w:numId="43">
    <w:abstractNumId w:val="3"/>
  </w:num>
  <w:num w:numId="44">
    <w:abstractNumId w:val="3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d+recDdqv9rR7Xc4pHhnba8Nm/6RXzKUR6JazDo4ijknOxQ5J+m2IFOdSynch0fqQ1qXWTq87v4O5JOie1QLcw==" w:salt="OaDjMVIE/wte33kzzIT3kA=="/>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5B4"/>
    <w:rsid w:val="00000A5C"/>
    <w:rsid w:val="0000266C"/>
    <w:rsid w:val="00010983"/>
    <w:rsid w:val="0001104B"/>
    <w:rsid w:val="00011266"/>
    <w:rsid w:val="00011311"/>
    <w:rsid w:val="00012BFC"/>
    <w:rsid w:val="00013306"/>
    <w:rsid w:val="000137C3"/>
    <w:rsid w:val="00013A54"/>
    <w:rsid w:val="00013A93"/>
    <w:rsid w:val="00014207"/>
    <w:rsid w:val="0002177A"/>
    <w:rsid w:val="0002303A"/>
    <w:rsid w:val="000245D2"/>
    <w:rsid w:val="00026A83"/>
    <w:rsid w:val="00030EDE"/>
    <w:rsid w:val="00031E10"/>
    <w:rsid w:val="00032196"/>
    <w:rsid w:val="000335EC"/>
    <w:rsid w:val="00033B79"/>
    <w:rsid w:val="00035B9A"/>
    <w:rsid w:val="00036719"/>
    <w:rsid w:val="0003727C"/>
    <w:rsid w:val="00037F6B"/>
    <w:rsid w:val="000401CB"/>
    <w:rsid w:val="000408B1"/>
    <w:rsid w:val="00040968"/>
    <w:rsid w:val="00040C68"/>
    <w:rsid w:val="0004319B"/>
    <w:rsid w:val="00043F3F"/>
    <w:rsid w:val="00044ADD"/>
    <w:rsid w:val="000463BC"/>
    <w:rsid w:val="00047F7C"/>
    <w:rsid w:val="00050649"/>
    <w:rsid w:val="00051281"/>
    <w:rsid w:val="0005234C"/>
    <w:rsid w:val="00052BA0"/>
    <w:rsid w:val="00054B5F"/>
    <w:rsid w:val="00055187"/>
    <w:rsid w:val="0005758B"/>
    <w:rsid w:val="000575E7"/>
    <w:rsid w:val="000600FF"/>
    <w:rsid w:val="000602E9"/>
    <w:rsid w:val="000618D0"/>
    <w:rsid w:val="00062842"/>
    <w:rsid w:val="000641E4"/>
    <w:rsid w:val="000658B8"/>
    <w:rsid w:val="00066E5E"/>
    <w:rsid w:val="00066ECA"/>
    <w:rsid w:val="00067225"/>
    <w:rsid w:val="00067417"/>
    <w:rsid w:val="00070741"/>
    <w:rsid w:val="000728C9"/>
    <w:rsid w:val="00073999"/>
    <w:rsid w:val="000777C3"/>
    <w:rsid w:val="00077A9C"/>
    <w:rsid w:val="00080294"/>
    <w:rsid w:val="000808EF"/>
    <w:rsid w:val="000832E5"/>
    <w:rsid w:val="00083A4D"/>
    <w:rsid w:val="00090B5B"/>
    <w:rsid w:val="00091997"/>
    <w:rsid w:val="00093233"/>
    <w:rsid w:val="0009346D"/>
    <w:rsid w:val="00093F2B"/>
    <w:rsid w:val="0009490C"/>
    <w:rsid w:val="00094A56"/>
    <w:rsid w:val="00094AB4"/>
    <w:rsid w:val="000955D1"/>
    <w:rsid w:val="00096CDE"/>
    <w:rsid w:val="00097112"/>
    <w:rsid w:val="00097743"/>
    <w:rsid w:val="00097E61"/>
    <w:rsid w:val="000A1027"/>
    <w:rsid w:val="000A1200"/>
    <w:rsid w:val="000A3BBF"/>
    <w:rsid w:val="000A3D87"/>
    <w:rsid w:val="000A5743"/>
    <w:rsid w:val="000A60C3"/>
    <w:rsid w:val="000A65CB"/>
    <w:rsid w:val="000A6E62"/>
    <w:rsid w:val="000A6F75"/>
    <w:rsid w:val="000A7B88"/>
    <w:rsid w:val="000B07B3"/>
    <w:rsid w:val="000B0A76"/>
    <w:rsid w:val="000B1845"/>
    <w:rsid w:val="000B1D8D"/>
    <w:rsid w:val="000B3305"/>
    <w:rsid w:val="000B46EB"/>
    <w:rsid w:val="000B4C72"/>
    <w:rsid w:val="000B64D5"/>
    <w:rsid w:val="000B7D40"/>
    <w:rsid w:val="000C1158"/>
    <w:rsid w:val="000C1469"/>
    <w:rsid w:val="000C2AF7"/>
    <w:rsid w:val="000C3FB1"/>
    <w:rsid w:val="000C466B"/>
    <w:rsid w:val="000C4B90"/>
    <w:rsid w:val="000C503E"/>
    <w:rsid w:val="000C5107"/>
    <w:rsid w:val="000C53E3"/>
    <w:rsid w:val="000C59A1"/>
    <w:rsid w:val="000C7B68"/>
    <w:rsid w:val="000D12DD"/>
    <w:rsid w:val="000D3870"/>
    <w:rsid w:val="000D4378"/>
    <w:rsid w:val="000D4611"/>
    <w:rsid w:val="000E1093"/>
    <w:rsid w:val="000E25F3"/>
    <w:rsid w:val="000E2615"/>
    <w:rsid w:val="000E36AF"/>
    <w:rsid w:val="000E6996"/>
    <w:rsid w:val="000E7022"/>
    <w:rsid w:val="000F0116"/>
    <w:rsid w:val="000F0565"/>
    <w:rsid w:val="000F058F"/>
    <w:rsid w:val="000F2409"/>
    <w:rsid w:val="000F253B"/>
    <w:rsid w:val="000F25E1"/>
    <w:rsid w:val="000F26C1"/>
    <w:rsid w:val="000F32CD"/>
    <w:rsid w:val="000F5BD2"/>
    <w:rsid w:val="000F7927"/>
    <w:rsid w:val="001004B0"/>
    <w:rsid w:val="00100862"/>
    <w:rsid w:val="00101405"/>
    <w:rsid w:val="00101624"/>
    <w:rsid w:val="001020A9"/>
    <w:rsid w:val="00103491"/>
    <w:rsid w:val="0010461A"/>
    <w:rsid w:val="001056BE"/>
    <w:rsid w:val="00105782"/>
    <w:rsid w:val="00106688"/>
    <w:rsid w:val="0010735C"/>
    <w:rsid w:val="001101B7"/>
    <w:rsid w:val="00111895"/>
    <w:rsid w:val="00112513"/>
    <w:rsid w:val="00114BE0"/>
    <w:rsid w:val="00115BAE"/>
    <w:rsid w:val="0011628D"/>
    <w:rsid w:val="001163C6"/>
    <w:rsid w:val="001173B3"/>
    <w:rsid w:val="001218F2"/>
    <w:rsid w:val="0012218C"/>
    <w:rsid w:val="001224F7"/>
    <w:rsid w:val="00124F7D"/>
    <w:rsid w:val="00124F8A"/>
    <w:rsid w:val="00126CB2"/>
    <w:rsid w:val="00127196"/>
    <w:rsid w:val="001275E0"/>
    <w:rsid w:val="0013128D"/>
    <w:rsid w:val="00132468"/>
    <w:rsid w:val="00132730"/>
    <w:rsid w:val="0013292D"/>
    <w:rsid w:val="00133E3D"/>
    <w:rsid w:val="00135ACF"/>
    <w:rsid w:val="00135D22"/>
    <w:rsid w:val="0013640D"/>
    <w:rsid w:val="001369B8"/>
    <w:rsid w:val="001378FD"/>
    <w:rsid w:val="00140002"/>
    <w:rsid w:val="00140FCE"/>
    <w:rsid w:val="00142771"/>
    <w:rsid w:val="0014349D"/>
    <w:rsid w:val="00144BAF"/>
    <w:rsid w:val="0014597D"/>
    <w:rsid w:val="0014740C"/>
    <w:rsid w:val="00147450"/>
    <w:rsid w:val="00150353"/>
    <w:rsid w:val="00150668"/>
    <w:rsid w:val="00151DB6"/>
    <w:rsid w:val="00153E96"/>
    <w:rsid w:val="001542F4"/>
    <w:rsid w:val="00154AF8"/>
    <w:rsid w:val="00155C69"/>
    <w:rsid w:val="00157C9D"/>
    <w:rsid w:val="00157CD1"/>
    <w:rsid w:val="00157EE0"/>
    <w:rsid w:val="00157F0A"/>
    <w:rsid w:val="00160A19"/>
    <w:rsid w:val="00162645"/>
    <w:rsid w:val="00163678"/>
    <w:rsid w:val="00166D59"/>
    <w:rsid w:val="00170CF4"/>
    <w:rsid w:val="00171A70"/>
    <w:rsid w:val="001733E5"/>
    <w:rsid w:val="00174618"/>
    <w:rsid w:val="00175473"/>
    <w:rsid w:val="001802C3"/>
    <w:rsid w:val="00181876"/>
    <w:rsid w:val="00182D72"/>
    <w:rsid w:val="00183678"/>
    <w:rsid w:val="00184193"/>
    <w:rsid w:val="001846C0"/>
    <w:rsid w:val="00184E69"/>
    <w:rsid w:val="00185891"/>
    <w:rsid w:val="00185EC9"/>
    <w:rsid w:val="00191149"/>
    <w:rsid w:val="001918D4"/>
    <w:rsid w:val="001919E5"/>
    <w:rsid w:val="0019337D"/>
    <w:rsid w:val="0019388C"/>
    <w:rsid w:val="001957F8"/>
    <w:rsid w:val="001973BA"/>
    <w:rsid w:val="001A00EB"/>
    <w:rsid w:val="001A0DBF"/>
    <w:rsid w:val="001A2943"/>
    <w:rsid w:val="001A52A7"/>
    <w:rsid w:val="001A561D"/>
    <w:rsid w:val="001A5F7C"/>
    <w:rsid w:val="001A6284"/>
    <w:rsid w:val="001A6416"/>
    <w:rsid w:val="001A6419"/>
    <w:rsid w:val="001A6565"/>
    <w:rsid w:val="001B135B"/>
    <w:rsid w:val="001B1B0F"/>
    <w:rsid w:val="001B4631"/>
    <w:rsid w:val="001B5EC7"/>
    <w:rsid w:val="001B60CF"/>
    <w:rsid w:val="001B7827"/>
    <w:rsid w:val="001C04AA"/>
    <w:rsid w:val="001C1518"/>
    <w:rsid w:val="001C1771"/>
    <w:rsid w:val="001C2216"/>
    <w:rsid w:val="001C2A13"/>
    <w:rsid w:val="001C46F4"/>
    <w:rsid w:val="001C47A0"/>
    <w:rsid w:val="001C480C"/>
    <w:rsid w:val="001C609E"/>
    <w:rsid w:val="001D08CD"/>
    <w:rsid w:val="001D1AA4"/>
    <w:rsid w:val="001D43F0"/>
    <w:rsid w:val="001D4B42"/>
    <w:rsid w:val="001D6CCE"/>
    <w:rsid w:val="001E0256"/>
    <w:rsid w:val="001E0944"/>
    <w:rsid w:val="001E0A83"/>
    <w:rsid w:val="001E243E"/>
    <w:rsid w:val="001E4B35"/>
    <w:rsid w:val="001E4F12"/>
    <w:rsid w:val="001E5754"/>
    <w:rsid w:val="001E5D67"/>
    <w:rsid w:val="001E7215"/>
    <w:rsid w:val="001E7AA3"/>
    <w:rsid w:val="001E7C5B"/>
    <w:rsid w:val="001F06E1"/>
    <w:rsid w:val="001F0C97"/>
    <w:rsid w:val="001F1761"/>
    <w:rsid w:val="001F54EF"/>
    <w:rsid w:val="001F5BDC"/>
    <w:rsid w:val="001F6332"/>
    <w:rsid w:val="001F7781"/>
    <w:rsid w:val="002001D3"/>
    <w:rsid w:val="00200743"/>
    <w:rsid w:val="00201BE7"/>
    <w:rsid w:val="0020205A"/>
    <w:rsid w:val="00203B08"/>
    <w:rsid w:val="00204114"/>
    <w:rsid w:val="00204488"/>
    <w:rsid w:val="00205520"/>
    <w:rsid w:val="0020561D"/>
    <w:rsid w:val="0020754C"/>
    <w:rsid w:val="002078BA"/>
    <w:rsid w:val="00207C16"/>
    <w:rsid w:val="00212EEB"/>
    <w:rsid w:val="00213B97"/>
    <w:rsid w:val="002149BD"/>
    <w:rsid w:val="0021562F"/>
    <w:rsid w:val="00215B00"/>
    <w:rsid w:val="00217058"/>
    <w:rsid w:val="00217FD8"/>
    <w:rsid w:val="002205DD"/>
    <w:rsid w:val="00221A28"/>
    <w:rsid w:val="00223437"/>
    <w:rsid w:val="00223A7A"/>
    <w:rsid w:val="00223D4D"/>
    <w:rsid w:val="00224C22"/>
    <w:rsid w:val="00224E56"/>
    <w:rsid w:val="00225A66"/>
    <w:rsid w:val="00226D2B"/>
    <w:rsid w:val="00227341"/>
    <w:rsid w:val="00231227"/>
    <w:rsid w:val="00233365"/>
    <w:rsid w:val="00234027"/>
    <w:rsid w:val="00235A5A"/>
    <w:rsid w:val="0023730D"/>
    <w:rsid w:val="00240A0A"/>
    <w:rsid w:val="0024194C"/>
    <w:rsid w:val="002419CA"/>
    <w:rsid w:val="00245575"/>
    <w:rsid w:val="00245C54"/>
    <w:rsid w:val="00246035"/>
    <w:rsid w:val="002470CF"/>
    <w:rsid w:val="00247457"/>
    <w:rsid w:val="002475BD"/>
    <w:rsid w:val="00250F94"/>
    <w:rsid w:val="0025166B"/>
    <w:rsid w:val="00251912"/>
    <w:rsid w:val="00251E89"/>
    <w:rsid w:val="00252834"/>
    <w:rsid w:val="00252BC2"/>
    <w:rsid w:val="00252E36"/>
    <w:rsid w:val="00253AD0"/>
    <w:rsid w:val="002540A8"/>
    <w:rsid w:val="00255AE5"/>
    <w:rsid w:val="002572C3"/>
    <w:rsid w:val="00257312"/>
    <w:rsid w:val="002606D0"/>
    <w:rsid w:val="00260A17"/>
    <w:rsid w:val="00260C75"/>
    <w:rsid w:val="00263A2A"/>
    <w:rsid w:val="002651E5"/>
    <w:rsid w:val="00266225"/>
    <w:rsid w:val="002663CC"/>
    <w:rsid w:val="00266707"/>
    <w:rsid w:val="0026724A"/>
    <w:rsid w:val="00267FB2"/>
    <w:rsid w:val="00270520"/>
    <w:rsid w:val="00270D8D"/>
    <w:rsid w:val="00271BA2"/>
    <w:rsid w:val="00272E88"/>
    <w:rsid w:val="00273AA6"/>
    <w:rsid w:val="00274F73"/>
    <w:rsid w:val="00276D42"/>
    <w:rsid w:val="00277180"/>
    <w:rsid w:val="00277AF6"/>
    <w:rsid w:val="00277F1F"/>
    <w:rsid w:val="002815BA"/>
    <w:rsid w:val="00283BAA"/>
    <w:rsid w:val="0028418E"/>
    <w:rsid w:val="002842BC"/>
    <w:rsid w:val="00285FF2"/>
    <w:rsid w:val="00287D43"/>
    <w:rsid w:val="002908A9"/>
    <w:rsid w:val="00291AE6"/>
    <w:rsid w:val="00292CAA"/>
    <w:rsid w:val="002930B0"/>
    <w:rsid w:val="00293471"/>
    <w:rsid w:val="00294CCF"/>
    <w:rsid w:val="00297D6B"/>
    <w:rsid w:val="002A0065"/>
    <w:rsid w:val="002A0608"/>
    <w:rsid w:val="002A14C7"/>
    <w:rsid w:val="002A1A57"/>
    <w:rsid w:val="002A2566"/>
    <w:rsid w:val="002A2E0C"/>
    <w:rsid w:val="002A3C78"/>
    <w:rsid w:val="002A51E4"/>
    <w:rsid w:val="002A6B03"/>
    <w:rsid w:val="002B1FB9"/>
    <w:rsid w:val="002B2F93"/>
    <w:rsid w:val="002B4036"/>
    <w:rsid w:val="002B44C2"/>
    <w:rsid w:val="002B4E45"/>
    <w:rsid w:val="002B6503"/>
    <w:rsid w:val="002B669A"/>
    <w:rsid w:val="002C0979"/>
    <w:rsid w:val="002C0F29"/>
    <w:rsid w:val="002C1467"/>
    <w:rsid w:val="002C3548"/>
    <w:rsid w:val="002C35D9"/>
    <w:rsid w:val="002D06CF"/>
    <w:rsid w:val="002D0F2B"/>
    <w:rsid w:val="002D15ED"/>
    <w:rsid w:val="002D2100"/>
    <w:rsid w:val="002D2865"/>
    <w:rsid w:val="002D33B5"/>
    <w:rsid w:val="002D5020"/>
    <w:rsid w:val="002E2213"/>
    <w:rsid w:val="002E2E85"/>
    <w:rsid w:val="002E6EC9"/>
    <w:rsid w:val="002E7954"/>
    <w:rsid w:val="002F1949"/>
    <w:rsid w:val="002F2FF6"/>
    <w:rsid w:val="002F5136"/>
    <w:rsid w:val="002F6C59"/>
    <w:rsid w:val="002F708E"/>
    <w:rsid w:val="003023EF"/>
    <w:rsid w:val="003026C6"/>
    <w:rsid w:val="00304AA6"/>
    <w:rsid w:val="00304C17"/>
    <w:rsid w:val="00307FC9"/>
    <w:rsid w:val="0031087B"/>
    <w:rsid w:val="00311042"/>
    <w:rsid w:val="00311188"/>
    <w:rsid w:val="00311A44"/>
    <w:rsid w:val="00312453"/>
    <w:rsid w:val="00313AFE"/>
    <w:rsid w:val="00313FC1"/>
    <w:rsid w:val="0031421A"/>
    <w:rsid w:val="0031520E"/>
    <w:rsid w:val="00320719"/>
    <w:rsid w:val="00321350"/>
    <w:rsid w:val="0032195B"/>
    <w:rsid w:val="00323AB4"/>
    <w:rsid w:val="0032453B"/>
    <w:rsid w:val="0032549C"/>
    <w:rsid w:val="00325A15"/>
    <w:rsid w:val="003260BB"/>
    <w:rsid w:val="00326759"/>
    <w:rsid w:val="003277C4"/>
    <w:rsid w:val="00331FE1"/>
    <w:rsid w:val="00333CA8"/>
    <w:rsid w:val="00334218"/>
    <w:rsid w:val="00334481"/>
    <w:rsid w:val="003372CD"/>
    <w:rsid w:val="0034037F"/>
    <w:rsid w:val="003413D8"/>
    <w:rsid w:val="00342E52"/>
    <w:rsid w:val="00343849"/>
    <w:rsid w:val="0034482A"/>
    <w:rsid w:val="003448DE"/>
    <w:rsid w:val="00344D20"/>
    <w:rsid w:val="0034540B"/>
    <w:rsid w:val="00346C84"/>
    <w:rsid w:val="0035350A"/>
    <w:rsid w:val="00353E17"/>
    <w:rsid w:val="00354D0F"/>
    <w:rsid w:val="0035547E"/>
    <w:rsid w:val="00356A3B"/>
    <w:rsid w:val="00356D4E"/>
    <w:rsid w:val="00360150"/>
    <w:rsid w:val="0036058F"/>
    <w:rsid w:val="0036169F"/>
    <w:rsid w:val="00362BB2"/>
    <w:rsid w:val="0036359E"/>
    <w:rsid w:val="00363DCC"/>
    <w:rsid w:val="00364632"/>
    <w:rsid w:val="0036660D"/>
    <w:rsid w:val="00370241"/>
    <w:rsid w:val="00374365"/>
    <w:rsid w:val="00374BC1"/>
    <w:rsid w:val="0037796C"/>
    <w:rsid w:val="00380062"/>
    <w:rsid w:val="00380ED7"/>
    <w:rsid w:val="00381D20"/>
    <w:rsid w:val="00382261"/>
    <w:rsid w:val="00382403"/>
    <w:rsid w:val="00382BF8"/>
    <w:rsid w:val="00382EC7"/>
    <w:rsid w:val="003839B7"/>
    <w:rsid w:val="00385634"/>
    <w:rsid w:val="00392D9F"/>
    <w:rsid w:val="00394504"/>
    <w:rsid w:val="00394830"/>
    <w:rsid w:val="00395A3C"/>
    <w:rsid w:val="00395A9C"/>
    <w:rsid w:val="00396199"/>
    <w:rsid w:val="00396F6A"/>
    <w:rsid w:val="003973E9"/>
    <w:rsid w:val="003A180A"/>
    <w:rsid w:val="003A1ADB"/>
    <w:rsid w:val="003A28AF"/>
    <w:rsid w:val="003A2CD6"/>
    <w:rsid w:val="003A4362"/>
    <w:rsid w:val="003A4675"/>
    <w:rsid w:val="003A55A3"/>
    <w:rsid w:val="003A6110"/>
    <w:rsid w:val="003B1B5E"/>
    <w:rsid w:val="003B2E50"/>
    <w:rsid w:val="003B2FC9"/>
    <w:rsid w:val="003B3485"/>
    <w:rsid w:val="003B5477"/>
    <w:rsid w:val="003B66B2"/>
    <w:rsid w:val="003B713E"/>
    <w:rsid w:val="003B7A92"/>
    <w:rsid w:val="003C07DE"/>
    <w:rsid w:val="003C09FF"/>
    <w:rsid w:val="003C20D7"/>
    <w:rsid w:val="003C47F2"/>
    <w:rsid w:val="003C6DDB"/>
    <w:rsid w:val="003C776F"/>
    <w:rsid w:val="003C7997"/>
    <w:rsid w:val="003D0BD6"/>
    <w:rsid w:val="003D3A67"/>
    <w:rsid w:val="003D4495"/>
    <w:rsid w:val="003D468B"/>
    <w:rsid w:val="003D5A0F"/>
    <w:rsid w:val="003D5CCF"/>
    <w:rsid w:val="003D6919"/>
    <w:rsid w:val="003E09EA"/>
    <w:rsid w:val="003E0AB9"/>
    <w:rsid w:val="003E2109"/>
    <w:rsid w:val="003E39A0"/>
    <w:rsid w:val="003E3DA3"/>
    <w:rsid w:val="003E3EE9"/>
    <w:rsid w:val="003E5F9A"/>
    <w:rsid w:val="003E7E30"/>
    <w:rsid w:val="003F0B09"/>
    <w:rsid w:val="003F1361"/>
    <w:rsid w:val="003F13BF"/>
    <w:rsid w:val="003F15EF"/>
    <w:rsid w:val="003F47F1"/>
    <w:rsid w:val="003F4B18"/>
    <w:rsid w:val="003F6096"/>
    <w:rsid w:val="003F61C2"/>
    <w:rsid w:val="003F63A1"/>
    <w:rsid w:val="003F7331"/>
    <w:rsid w:val="00401242"/>
    <w:rsid w:val="0040169A"/>
    <w:rsid w:val="00403722"/>
    <w:rsid w:val="00404D76"/>
    <w:rsid w:val="0040600D"/>
    <w:rsid w:val="00406334"/>
    <w:rsid w:val="0040766A"/>
    <w:rsid w:val="00410A0E"/>
    <w:rsid w:val="004123D8"/>
    <w:rsid w:val="00412853"/>
    <w:rsid w:val="00412FC4"/>
    <w:rsid w:val="004139EC"/>
    <w:rsid w:val="00413FA1"/>
    <w:rsid w:val="0041587A"/>
    <w:rsid w:val="00415DD3"/>
    <w:rsid w:val="004169CE"/>
    <w:rsid w:val="00422807"/>
    <w:rsid w:val="00422E3E"/>
    <w:rsid w:val="00423020"/>
    <w:rsid w:val="00423FE5"/>
    <w:rsid w:val="004242A5"/>
    <w:rsid w:val="00424633"/>
    <w:rsid w:val="0042474C"/>
    <w:rsid w:val="00425DDD"/>
    <w:rsid w:val="00425F66"/>
    <w:rsid w:val="00426285"/>
    <w:rsid w:val="0043051E"/>
    <w:rsid w:val="00432E4D"/>
    <w:rsid w:val="004341B3"/>
    <w:rsid w:val="0043473F"/>
    <w:rsid w:val="00435961"/>
    <w:rsid w:val="004363B4"/>
    <w:rsid w:val="00437080"/>
    <w:rsid w:val="0044111E"/>
    <w:rsid w:val="004426CB"/>
    <w:rsid w:val="00443AFC"/>
    <w:rsid w:val="00444311"/>
    <w:rsid w:val="00445ED6"/>
    <w:rsid w:val="004464D1"/>
    <w:rsid w:val="00446C83"/>
    <w:rsid w:val="00447BDD"/>
    <w:rsid w:val="00451C65"/>
    <w:rsid w:val="00451FC8"/>
    <w:rsid w:val="00455285"/>
    <w:rsid w:val="004616C0"/>
    <w:rsid w:val="00463788"/>
    <w:rsid w:val="00466421"/>
    <w:rsid w:val="004678F6"/>
    <w:rsid w:val="004716D9"/>
    <w:rsid w:val="00472015"/>
    <w:rsid w:val="004722A8"/>
    <w:rsid w:val="004723F7"/>
    <w:rsid w:val="00472ED6"/>
    <w:rsid w:val="00474C50"/>
    <w:rsid w:val="00476141"/>
    <w:rsid w:val="004761FB"/>
    <w:rsid w:val="0047669C"/>
    <w:rsid w:val="00476B90"/>
    <w:rsid w:val="004772E9"/>
    <w:rsid w:val="00483D8E"/>
    <w:rsid w:val="004840F2"/>
    <w:rsid w:val="00484A97"/>
    <w:rsid w:val="0048548B"/>
    <w:rsid w:val="004856C0"/>
    <w:rsid w:val="00485C36"/>
    <w:rsid w:val="00486B3E"/>
    <w:rsid w:val="0049399E"/>
    <w:rsid w:val="00493E7E"/>
    <w:rsid w:val="004942DF"/>
    <w:rsid w:val="004952B8"/>
    <w:rsid w:val="0049663E"/>
    <w:rsid w:val="00497421"/>
    <w:rsid w:val="004A01DE"/>
    <w:rsid w:val="004A2AC7"/>
    <w:rsid w:val="004A2D29"/>
    <w:rsid w:val="004A442C"/>
    <w:rsid w:val="004A481C"/>
    <w:rsid w:val="004A4DC8"/>
    <w:rsid w:val="004A4F21"/>
    <w:rsid w:val="004A5045"/>
    <w:rsid w:val="004A57B7"/>
    <w:rsid w:val="004A6945"/>
    <w:rsid w:val="004B23E1"/>
    <w:rsid w:val="004B2A5B"/>
    <w:rsid w:val="004B2A6A"/>
    <w:rsid w:val="004B36C6"/>
    <w:rsid w:val="004B44E1"/>
    <w:rsid w:val="004B56EA"/>
    <w:rsid w:val="004B6DBD"/>
    <w:rsid w:val="004B7093"/>
    <w:rsid w:val="004B768A"/>
    <w:rsid w:val="004B79E4"/>
    <w:rsid w:val="004C01DE"/>
    <w:rsid w:val="004C06A7"/>
    <w:rsid w:val="004C36C3"/>
    <w:rsid w:val="004C4981"/>
    <w:rsid w:val="004C4BCE"/>
    <w:rsid w:val="004C4BE5"/>
    <w:rsid w:val="004C6093"/>
    <w:rsid w:val="004D1C42"/>
    <w:rsid w:val="004D4419"/>
    <w:rsid w:val="004D5D15"/>
    <w:rsid w:val="004E0BDC"/>
    <w:rsid w:val="004E0C73"/>
    <w:rsid w:val="004E219E"/>
    <w:rsid w:val="004E2FAF"/>
    <w:rsid w:val="004E32DC"/>
    <w:rsid w:val="004E58DE"/>
    <w:rsid w:val="004E67AA"/>
    <w:rsid w:val="004E69BA"/>
    <w:rsid w:val="004E7A8A"/>
    <w:rsid w:val="004F005A"/>
    <w:rsid w:val="004F0073"/>
    <w:rsid w:val="004F0B84"/>
    <w:rsid w:val="004F2FED"/>
    <w:rsid w:val="004F387B"/>
    <w:rsid w:val="004F4506"/>
    <w:rsid w:val="00501A25"/>
    <w:rsid w:val="005030F8"/>
    <w:rsid w:val="005057A2"/>
    <w:rsid w:val="00505DC5"/>
    <w:rsid w:val="005102E8"/>
    <w:rsid w:val="00510AD4"/>
    <w:rsid w:val="00510F25"/>
    <w:rsid w:val="00511F14"/>
    <w:rsid w:val="00512ACD"/>
    <w:rsid w:val="005140D6"/>
    <w:rsid w:val="005149EA"/>
    <w:rsid w:val="005154EE"/>
    <w:rsid w:val="0051595C"/>
    <w:rsid w:val="005176C3"/>
    <w:rsid w:val="00520321"/>
    <w:rsid w:val="00521650"/>
    <w:rsid w:val="005227AF"/>
    <w:rsid w:val="005247CD"/>
    <w:rsid w:val="00524E8D"/>
    <w:rsid w:val="00530150"/>
    <w:rsid w:val="0053117F"/>
    <w:rsid w:val="00531199"/>
    <w:rsid w:val="0053239F"/>
    <w:rsid w:val="005331EF"/>
    <w:rsid w:val="00533903"/>
    <w:rsid w:val="00534786"/>
    <w:rsid w:val="00536036"/>
    <w:rsid w:val="00536586"/>
    <w:rsid w:val="0053663A"/>
    <w:rsid w:val="00540C4F"/>
    <w:rsid w:val="00540F6E"/>
    <w:rsid w:val="00541589"/>
    <w:rsid w:val="00542080"/>
    <w:rsid w:val="00545705"/>
    <w:rsid w:val="005468C0"/>
    <w:rsid w:val="00546A0A"/>
    <w:rsid w:val="00547EF1"/>
    <w:rsid w:val="00550386"/>
    <w:rsid w:val="005508A4"/>
    <w:rsid w:val="00550AC3"/>
    <w:rsid w:val="00550E85"/>
    <w:rsid w:val="00551203"/>
    <w:rsid w:val="00552630"/>
    <w:rsid w:val="005528B2"/>
    <w:rsid w:val="0055355A"/>
    <w:rsid w:val="00556A04"/>
    <w:rsid w:val="00556A58"/>
    <w:rsid w:val="00556F37"/>
    <w:rsid w:val="00557456"/>
    <w:rsid w:val="0056152C"/>
    <w:rsid w:val="00561C63"/>
    <w:rsid w:val="005670B6"/>
    <w:rsid w:val="00567631"/>
    <w:rsid w:val="00567F23"/>
    <w:rsid w:val="005702E8"/>
    <w:rsid w:val="00570BE0"/>
    <w:rsid w:val="00570C6C"/>
    <w:rsid w:val="00571888"/>
    <w:rsid w:val="005738E0"/>
    <w:rsid w:val="00574565"/>
    <w:rsid w:val="00574650"/>
    <w:rsid w:val="00574C88"/>
    <w:rsid w:val="00577319"/>
    <w:rsid w:val="005774AD"/>
    <w:rsid w:val="00580DAA"/>
    <w:rsid w:val="00580EC1"/>
    <w:rsid w:val="00582244"/>
    <w:rsid w:val="00582B28"/>
    <w:rsid w:val="00583530"/>
    <w:rsid w:val="00583740"/>
    <w:rsid w:val="00583CDA"/>
    <w:rsid w:val="00586172"/>
    <w:rsid w:val="0059191A"/>
    <w:rsid w:val="00591D8A"/>
    <w:rsid w:val="00593DC3"/>
    <w:rsid w:val="005941E1"/>
    <w:rsid w:val="0059438D"/>
    <w:rsid w:val="00594A5A"/>
    <w:rsid w:val="00595293"/>
    <w:rsid w:val="00595394"/>
    <w:rsid w:val="00595CC0"/>
    <w:rsid w:val="005963CC"/>
    <w:rsid w:val="005A05BA"/>
    <w:rsid w:val="005A20B8"/>
    <w:rsid w:val="005A34BD"/>
    <w:rsid w:val="005A4453"/>
    <w:rsid w:val="005A4AC7"/>
    <w:rsid w:val="005A4E30"/>
    <w:rsid w:val="005A7112"/>
    <w:rsid w:val="005A7FC6"/>
    <w:rsid w:val="005B08C6"/>
    <w:rsid w:val="005B0B1E"/>
    <w:rsid w:val="005B1669"/>
    <w:rsid w:val="005B1828"/>
    <w:rsid w:val="005B383B"/>
    <w:rsid w:val="005B474E"/>
    <w:rsid w:val="005B526B"/>
    <w:rsid w:val="005B547C"/>
    <w:rsid w:val="005B5772"/>
    <w:rsid w:val="005C46D3"/>
    <w:rsid w:val="005C58C6"/>
    <w:rsid w:val="005C759E"/>
    <w:rsid w:val="005D19A9"/>
    <w:rsid w:val="005D25C6"/>
    <w:rsid w:val="005D3364"/>
    <w:rsid w:val="005D44C4"/>
    <w:rsid w:val="005D49B5"/>
    <w:rsid w:val="005D5051"/>
    <w:rsid w:val="005D5D26"/>
    <w:rsid w:val="005D5E0E"/>
    <w:rsid w:val="005E013E"/>
    <w:rsid w:val="005E132E"/>
    <w:rsid w:val="005E2164"/>
    <w:rsid w:val="005E2C1F"/>
    <w:rsid w:val="005E2F51"/>
    <w:rsid w:val="005E5311"/>
    <w:rsid w:val="005E5C9C"/>
    <w:rsid w:val="005E5E38"/>
    <w:rsid w:val="005F0A2E"/>
    <w:rsid w:val="005F2A7B"/>
    <w:rsid w:val="005F4111"/>
    <w:rsid w:val="005F5FCD"/>
    <w:rsid w:val="005F60A3"/>
    <w:rsid w:val="005F66D7"/>
    <w:rsid w:val="00602766"/>
    <w:rsid w:val="0060288A"/>
    <w:rsid w:val="0060414A"/>
    <w:rsid w:val="0060431D"/>
    <w:rsid w:val="00604CAE"/>
    <w:rsid w:val="00605FA4"/>
    <w:rsid w:val="00606C38"/>
    <w:rsid w:val="006111F8"/>
    <w:rsid w:val="00611AF0"/>
    <w:rsid w:val="00612BC5"/>
    <w:rsid w:val="0061369B"/>
    <w:rsid w:val="00613EDC"/>
    <w:rsid w:val="0061610A"/>
    <w:rsid w:val="00617BE5"/>
    <w:rsid w:val="006205A7"/>
    <w:rsid w:val="00620A91"/>
    <w:rsid w:val="006214C1"/>
    <w:rsid w:val="0062184C"/>
    <w:rsid w:val="00621A55"/>
    <w:rsid w:val="00621E38"/>
    <w:rsid w:val="00622A6F"/>
    <w:rsid w:val="00624384"/>
    <w:rsid w:val="00624585"/>
    <w:rsid w:val="00624DF5"/>
    <w:rsid w:val="00625191"/>
    <w:rsid w:val="0062519A"/>
    <w:rsid w:val="00626E3D"/>
    <w:rsid w:val="006271B1"/>
    <w:rsid w:val="00627EEF"/>
    <w:rsid w:val="006321B3"/>
    <w:rsid w:val="00632242"/>
    <w:rsid w:val="00632732"/>
    <w:rsid w:val="006329EC"/>
    <w:rsid w:val="00632A8C"/>
    <w:rsid w:val="00634088"/>
    <w:rsid w:val="006345BA"/>
    <w:rsid w:val="00634F0C"/>
    <w:rsid w:val="006400F7"/>
    <w:rsid w:val="006407D2"/>
    <w:rsid w:val="00640E2C"/>
    <w:rsid w:val="00642520"/>
    <w:rsid w:val="006458DD"/>
    <w:rsid w:val="00646D14"/>
    <w:rsid w:val="00646FAC"/>
    <w:rsid w:val="00646FF8"/>
    <w:rsid w:val="00647717"/>
    <w:rsid w:val="0065022E"/>
    <w:rsid w:val="0065038E"/>
    <w:rsid w:val="00650508"/>
    <w:rsid w:val="006507C5"/>
    <w:rsid w:val="00650B4E"/>
    <w:rsid w:val="00650F51"/>
    <w:rsid w:val="0065290E"/>
    <w:rsid w:val="00652AE2"/>
    <w:rsid w:val="00654045"/>
    <w:rsid w:val="0065489A"/>
    <w:rsid w:val="00655997"/>
    <w:rsid w:val="00656925"/>
    <w:rsid w:val="00656C4A"/>
    <w:rsid w:val="006572A4"/>
    <w:rsid w:val="00657BE8"/>
    <w:rsid w:val="00657C0C"/>
    <w:rsid w:val="006628AE"/>
    <w:rsid w:val="006645B4"/>
    <w:rsid w:val="00664E36"/>
    <w:rsid w:val="00665A82"/>
    <w:rsid w:val="0066744E"/>
    <w:rsid w:val="0067043A"/>
    <w:rsid w:val="00671C15"/>
    <w:rsid w:val="00671C75"/>
    <w:rsid w:val="00676223"/>
    <w:rsid w:val="0067653F"/>
    <w:rsid w:val="00676837"/>
    <w:rsid w:val="00680ED2"/>
    <w:rsid w:val="006826FE"/>
    <w:rsid w:val="0068300D"/>
    <w:rsid w:val="00683993"/>
    <w:rsid w:val="00684E62"/>
    <w:rsid w:val="00685B7D"/>
    <w:rsid w:val="0068739A"/>
    <w:rsid w:val="006930A1"/>
    <w:rsid w:val="00693FD3"/>
    <w:rsid w:val="00694390"/>
    <w:rsid w:val="006957A3"/>
    <w:rsid w:val="00695856"/>
    <w:rsid w:val="0069746A"/>
    <w:rsid w:val="006A1CFF"/>
    <w:rsid w:val="006A2051"/>
    <w:rsid w:val="006A3E52"/>
    <w:rsid w:val="006A59FC"/>
    <w:rsid w:val="006A742C"/>
    <w:rsid w:val="006A7D10"/>
    <w:rsid w:val="006A7F96"/>
    <w:rsid w:val="006B18F8"/>
    <w:rsid w:val="006B20E3"/>
    <w:rsid w:val="006B5620"/>
    <w:rsid w:val="006B5FAC"/>
    <w:rsid w:val="006B6698"/>
    <w:rsid w:val="006C0932"/>
    <w:rsid w:val="006C1060"/>
    <w:rsid w:val="006C28C5"/>
    <w:rsid w:val="006C3D7A"/>
    <w:rsid w:val="006C4AAE"/>
    <w:rsid w:val="006C5BCA"/>
    <w:rsid w:val="006C5CC2"/>
    <w:rsid w:val="006C6763"/>
    <w:rsid w:val="006C6CA1"/>
    <w:rsid w:val="006D02FC"/>
    <w:rsid w:val="006D08A6"/>
    <w:rsid w:val="006D1A54"/>
    <w:rsid w:val="006D229E"/>
    <w:rsid w:val="006D3FC2"/>
    <w:rsid w:val="006D429A"/>
    <w:rsid w:val="006D58AC"/>
    <w:rsid w:val="006D5F6E"/>
    <w:rsid w:val="006D6AC5"/>
    <w:rsid w:val="006D6B8B"/>
    <w:rsid w:val="006D7A0B"/>
    <w:rsid w:val="006D7F9D"/>
    <w:rsid w:val="006E3FB4"/>
    <w:rsid w:val="006E5F37"/>
    <w:rsid w:val="006E7E9D"/>
    <w:rsid w:val="006F0FAE"/>
    <w:rsid w:val="006F1614"/>
    <w:rsid w:val="006F254F"/>
    <w:rsid w:val="006F483C"/>
    <w:rsid w:val="006F4AB1"/>
    <w:rsid w:val="006F4D48"/>
    <w:rsid w:val="006F7EC2"/>
    <w:rsid w:val="00701FD4"/>
    <w:rsid w:val="00704962"/>
    <w:rsid w:val="00704C01"/>
    <w:rsid w:val="0070598B"/>
    <w:rsid w:val="00705A30"/>
    <w:rsid w:val="00706EC5"/>
    <w:rsid w:val="00706F13"/>
    <w:rsid w:val="007112EF"/>
    <w:rsid w:val="007133C4"/>
    <w:rsid w:val="007156A0"/>
    <w:rsid w:val="00715C9C"/>
    <w:rsid w:val="00716429"/>
    <w:rsid w:val="00716A29"/>
    <w:rsid w:val="00721E1A"/>
    <w:rsid w:val="0072406F"/>
    <w:rsid w:val="00724435"/>
    <w:rsid w:val="00724D39"/>
    <w:rsid w:val="0072666F"/>
    <w:rsid w:val="0072790F"/>
    <w:rsid w:val="007310D7"/>
    <w:rsid w:val="00732374"/>
    <w:rsid w:val="00732B0F"/>
    <w:rsid w:val="00733E4D"/>
    <w:rsid w:val="00734AFB"/>
    <w:rsid w:val="0073519F"/>
    <w:rsid w:val="00735477"/>
    <w:rsid w:val="0073563F"/>
    <w:rsid w:val="0073631B"/>
    <w:rsid w:val="00741E5D"/>
    <w:rsid w:val="00742CC8"/>
    <w:rsid w:val="0074321C"/>
    <w:rsid w:val="00743AE0"/>
    <w:rsid w:val="0074469A"/>
    <w:rsid w:val="00745406"/>
    <w:rsid w:val="00745511"/>
    <w:rsid w:val="0074716C"/>
    <w:rsid w:val="00752F53"/>
    <w:rsid w:val="00755D64"/>
    <w:rsid w:val="007577A9"/>
    <w:rsid w:val="00760EDB"/>
    <w:rsid w:val="00760FE8"/>
    <w:rsid w:val="007611D9"/>
    <w:rsid w:val="00762281"/>
    <w:rsid w:val="00762797"/>
    <w:rsid w:val="007638AA"/>
    <w:rsid w:val="00764758"/>
    <w:rsid w:val="00764C04"/>
    <w:rsid w:val="0076565C"/>
    <w:rsid w:val="00770B3B"/>
    <w:rsid w:val="00770D23"/>
    <w:rsid w:val="007742B6"/>
    <w:rsid w:val="00775523"/>
    <w:rsid w:val="007758CC"/>
    <w:rsid w:val="007761FA"/>
    <w:rsid w:val="00780A21"/>
    <w:rsid w:val="007812F2"/>
    <w:rsid w:val="00781602"/>
    <w:rsid w:val="00782606"/>
    <w:rsid w:val="00783404"/>
    <w:rsid w:val="00783480"/>
    <w:rsid w:val="007835FC"/>
    <w:rsid w:val="0078386C"/>
    <w:rsid w:val="00784D17"/>
    <w:rsid w:val="0078596B"/>
    <w:rsid w:val="00786E02"/>
    <w:rsid w:val="007872C6"/>
    <w:rsid w:val="00787919"/>
    <w:rsid w:val="00791C62"/>
    <w:rsid w:val="00792417"/>
    <w:rsid w:val="0079293B"/>
    <w:rsid w:val="00793653"/>
    <w:rsid w:val="00795CF3"/>
    <w:rsid w:val="00796C6A"/>
    <w:rsid w:val="00796FAF"/>
    <w:rsid w:val="007A178D"/>
    <w:rsid w:val="007A1E88"/>
    <w:rsid w:val="007A30A3"/>
    <w:rsid w:val="007A35CD"/>
    <w:rsid w:val="007A371F"/>
    <w:rsid w:val="007A4E81"/>
    <w:rsid w:val="007A5AE3"/>
    <w:rsid w:val="007A5C90"/>
    <w:rsid w:val="007A6FC2"/>
    <w:rsid w:val="007B0C6D"/>
    <w:rsid w:val="007B2002"/>
    <w:rsid w:val="007B2BA8"/>
    <w:rsid w:val="007B3B13"/>
    <w:rsid w:val="007B488B"/>
    <w:rsid w:val="007B5C3D"/>
    <w:rsid w:val="007B5E38"/>
    <w:rsid w:val="007B6389"/>
    <w:rsid w:val="007B6DA8"/>
    <w:rsid w:val="007B7E04"/>
    <w:rsid w:val="007C0685"/>
    <w:rsid w:val="007C0799"/>
    <w:rsid w:val="007C1242"/>
    <w:rsid w:val="007C189D"/>
    <w:rsid w:val="007C25DB"/>
    <w:rsid w:val="007C3F27"/>
    <w:rsid w:val="007C5771"/>
    <w:rsid w:val="007C6276"/>
    <w:rsid w:val="007C62ED"/>
    <w:rsid w:val="007C77CD"/>
    <w:rsid w:val="007D24F6"/>
    <w:rsid w:val="007D29E6"/>
    <w:rsid w:val="007D4685"/>
    <w:rsid w:val="007D6D4B"/>
    <w:rsid w:val="007D7F30"/>
    <w:rsid w:val="007E0334"/>
    <w:rsid w:val="007E1A65"/>
    <w:rsid w:val="007E3177"/>
    <w:rsid w:val="007E3399"/>
    <w:rsid w:val="007E554F"/>
    <w:rsid w:val="007F21DC"/>
    <w:rsid w:val="007F21E8"/>
    <w:rsid w:val="007F3511"/>
    <w:rsid w:val="007F48DD"/>
    <w:rsid w:val="007F519D"/>
    <w:rsid w:val="007F72EB"/>
    <w:rsid w:val="007F7819"/>
    <w:rsid w:val="00801EC6"/>
    <w:rsid w:val="008026B9"/>
    <w:rsid w:val="008026DC"/>
    <w:rsid w:val="00802EF5"/>
    <w:rsid w:val="00804DDC"/>
    <w:rsid w:val="00805E69"/>
    <w:rsid w:val="008063E8"/>
    <w:rsid w:val="00807DE0"/>
    <w:rsid w:val="0081097D"/>
    <w:rsid w:val="00810C8A"/>
    <w:rsid w:val="00812246"/>
    <w:rsid w:val="00812EF7"/>
    <w:rsid w:val="00813236"/>
    <w:rsid w:val="0081370F"/>
    <w:rsid w:val="00815524"/>
    <w:rsid w:val="00815C07"/>
    <w:rsid w:val="00820D67"/>
    <w:rsid w:val="00820E9F"/>
    <w:rsid w:val="00822090"/>
    <w:rsid w:val="00824F64"/>
    <w:rsid w:val="00826044"/>
    <w:rsid w:val="00826AD2"/>
    <w:rsid w:val="00827C82"/>
    <w:rsid w:val="00831779"/>
    <w:rsid w:val="00831BB6"/>
    <w:rsid w:val="00832707"/>
    <w:rsid w:val="00832D04"/>
    <w:rsid w:val="00833D0D"/>
    <w:rsid w:val="00836457"/>
    <w:rsid w:val="008364B5"/>
    <w:rsid w:val="008369C2"/>
    <w:rsid w:val="008419E1"/>
    <w:rsid w:val="0084590A"/>
    <w:rsid w:val="008500BC"/>
    <w:rsid w:val="00850150"/>
    <w:rsid w:val="00850AC3"/>
    <w:rsid w:val="00851879"/>
    <w:rsid w:val="008527D1"/>
    <w:rsid w:val="00853154"/>
    <w:rsid w:val="00855442"/>
    <w:rsid w:val="00856447"/>
    <w:rsid w:val="00857C13"/>
    <w:rsid w:val="0086009A"/>
    <w:rsid w:val="008600D1"/>
    <w:rsid w:val="008601EF"/>
    <w:rsid w:val="00860AB5"/>
    <w:rsid w:val="0086186B"/>
    <w:rsid w:val="00861EA9"/>
    <w:rsid w:val="0086206C"/>
    <w:rsid w:val="0086238C"/>
    <w:rsid w:val="00863252"/>
    <w:rsid w:val="008643F2"/>
    <w:rsid w:val="00864969"/>
    <w:rsid w:val="00867792"/>
    <w:rsid w:val="008709FA"/>
    <w:rsid w:val="00870B78"/>
    <w:rsid w:val="00871EDD"/>
    <w:rsid w:val="0087375D"/>
    <w:rsid w:val="00874C9C"/>
    <w:rsid w:val="008762B1"/>
    <w:rsid w:val="00877DAA"/>
    <w:rsid w:val="008800E8"/>
    <w:rsid w:val="00880E31"/>
    <w:rsid w:val="00881772"/>
    <w:rsid w:val="00882024"/>
    <w:rsid w:val="0088226B"/>
    <w:rsid w:val="00882277"/>
    <w:rsid w:val="00883F66"/>
    <w:rsid w:val="00883F93"/>
    <w:rsid w:val="0088486E"/>
    <w:rsid w:val="00886D9D"/>
    <w:rsid w:val="008901D0"/>
    <w:rsid w:val="00891321"/>
    <w:rsid w:val="0089259D"/>
    <w:rsid w:val="00893D11"/>
    <w:rsid w:val="008948CD"/>
    <w:rsid w:val="00894C16"/>
    <w:rsid w:val="00895103"/>
    <w:rsid w:val="008952B3"/>
    <w:rsid w:val="00895ECF"/>
    <w:rsid w:val="008A0A16"/>
    <w:rsid w:val="008A3E6E"/>
    <w:rsid w:val="008A45F6"/>
    <w:rsid w:val="008A54ED"/>
    <w:rsid w:val="008A563E"/>
    <w:rsid w:val="008A5717"/>
    <w:rsid w:val="008A58DD"/>
    <w:rsid w:val="008A5E14"/>
    <w:rsid w:val="008A5FBF"/>
    <w:rsid w:val="008A6F42"/>
    <w:rsid w:val="008B4811"/>
    <w:rsid w:val="008B531B"/>
    <w:rsid w:val="008B5328"/>
    <w:rsid w:val="008B618D"/>
    <w:rsid w:val="008B72C5"/>
    <w:rsid w:val="008B7BDF"/>
    <w:rsid w:val="008C0096"/>
    <w:rsid w:val="008C0C1F"/>
    <w:rsid w:val="008C0E77"/>
    <w:rsid w:val="008C1765"/>
    <w:rsid w:val="008C2F0D"/>
    <w:rsid w:val="008C332E"/>
    <w:rsid w:val="008C3838"/>
    <w:rsid w:val="008C70F7"/>
    <w:rsid w:val="008C7273"/>
    <w:rsid w:val="008C74BC"/>
    <w:rsid w:val="008C7DEC"/>
    <w:rsid w:val="008D324E"/>
    <w:rsid w:val="008D380B"/>
    <w:rsid w:val="008D6869"/>
    <w:rsid w:val="008E082A"/>
    <w:rsid w:val="008E12CC"/>
    <w:rsid w:val="008E14B5"/>
    <w:rsid w:val="008E15DE"/>
    <w:rsid w:val="008E2ADF"/>
    <w:rsid w:val="008E511E"/>
    <w:rsid w:val="008E596B"/>
    <w:rsid w:val="008E637C"/>
    <w:rsid w:val="008E7B5E"/>
    <w:rsid w:val="008E7EAB"/>
    <w:rsid w:val="008F00AC"/>
    <w:rsid w:val="008F16CA"/>
    <w:rsid w:val="008F2704"/>
    <w:rsid w:val="008F2825"/>
    <w:rsid w:val="008F3805"/>
    <w:rsid w:val="008F7745"/>
    <w:rsid w:val="008F7B90"/>
    <w:rsid w:val="0090195C"/>
    <w:rsid w:val="00901F42"/>
    <w:rsid w:val="0090337A"/>
    <w:rsid w:val="00903ECA"/>
    <w:rsid w:val="00903F0D"/>
    <w:rsid w:val="00904D77"/>
    <w:rsid w:val="00905A1A"/>
    <w:rsid w:val="00905A76"/>
    <w:rsid w:val="0091051D"/>
    <w:rsid w:val="00910527"/>
    <w:rsid w:val="0091080A"/>
    <w:rsid w:val="00910C01"/>
    <w:rsid w:val="009111B7"/>
    <w:rsid w:val="009121A1"/>
    <w:rsid w:val="009125F3"/>
    <w:rsid w:val="00914534"/>
    <w:rsid w:val="009148A2"/>
    <w:rsid w:val="00914BA8"/>
    <w:rsid w:val="0091573B"/>
    <w:rsid w:val="00916CB2"/>
    <w:rsid w:val="009173DA"/>
    <w:rsid w:val="00920518"/>
    <w:rsid w:val="009208BF"/>
    <w:rsid w:val="009223BB"/>
    <w:rsid w:val="00922F61"/>
    <w:rsid w:val="0092302D"/>
    <w:rsid w:val="00924CB9"/>
    <w:rsid w:val="0092509F"/>
    <w:rsid w:val="00925926"/>
    <w:rsid w:val="0092669A"/>
    <w:rsid w:val="00927367"/>
    <w:rsid w:val="00927D59"/>
    <w:rsid w:val="00933F11"/>
    <w:rsid w:val="0093445C"/>
    <w:rsid w:val="00934581"/>
    <w:rsid w:val="00936ACC"/>
    <w:rsid w:val="00936F7D"/>
    <w:rsid w:val="00937E71"/>
    <w:rsid w:val="009402E5"/>
    <w:rsid w:val="009421D2"/>
    <w:rsid w:val="00942E9D"/>
    <w:rsid w:val="009432CD"/>
    <w:rsid w:val="00944543"/>
    <w:rsid w:val="00947A74"/>
    <w:rsid w:val="00947C01"/>
    <w:rsid w:val="0095033E"/>
    <w:rsid w:val="00952EB1"/>
    <w:rsid w:val="00957F34"/>
    <w:rsid w:val="0096483D"/>
    <w:rsid w:val="00965E81"/>
    <w:rsid w:val="0096699B"/>
    <w:rsid w:val="009669CA"/>
    <w:rsid w:val="009704D9"/>
    <w:rsid w:val="00970C8C"/>
    <w:rsid w:val="00972EA3"/>
    <w:rsid w:val="00974123"/>
    <w:rsid w:val="0097745E"/>
    <w:rsid w:val="0097769A"/>
    <w:rsid w:val="00977C4C"/>
    <w:rsid w:val="00980061"/>
    <w:rsid w:val="009809F2"/>
    <w:rsid w:val="0098164F"/>
    <w:rsid w:val="009816C7"/>
    <w:rsid w:val="00981EB2"/>
    <w:rsid w:val="009831F5"/>
    <w:rsid w:val="009876DA"/>
    <w:rsid w:val="00991A1C"/>
    <w:rsid w:val="00993126"/>
    <w:rsid w:val="009935C2"/>
    <w:rsid w:val="00993B99"/>
    <w:rsid w:val="0099486D"/>
    <w:rsid w:val="00994ED7"/>
    <w:rsid w:val="00996CC3"/>
    <w:rsid w:val="009A07A4"/>
    <w:rsid w:val="009A0CC6"/>
    <w:rsid w:val="009A4054"/>
    <w:rsid w:val="009A4FEC"/>
    <w:rsid w:val="009A522F"/>
    <w:rsid w:val="009A571D"/>
    <w:rsid w:val="009A6866"/>
    <w:rsid w:val="009A713E"/>
    <w:rsid w:val="009A750B"/>
    <w:rsid w:val="009B00D3"/>
    <w:rsid w:val="009B038D"/>
    <w:rsid w:val="009B0654"/>
    <w:rsid w:val="009B0AEB"/>
    <w:rsid w:val="009B0B5E"/>
    <w:rsid w:val="009B1DA3"/>
    <w:rsid w:val="009B2CEA"/>
    <w:rsid w:val="009B4927"/>
    <w:rsid w:val="009B783C"/>
    <w:rsid w:val="009C0AD4"/>
    <w:rsid w:val="009C13E9"/>
    <w:rsid w:val="009C2A9A"/>
    <w:rsid w:val="009C2E09"/>
    <w:rsid w:val="009C318F"/>
    <w:rsid w:val="009C4351"/>
    <w:rsid w:val="009C5273"/>
    <w:rsid w:val="009C54EF"/>
    <w:rsid w:val="009C5C6B"/>
    <w:rsid w:val="009D0462"/>
    <w:rsid w:val="009D067E"/>
    <w:rsid w:val="009D1DC5"/>
    <w:rsid w:val="009D4343"/>
    <w:rsid w:val="009D5AC1"/>
    <w:rsid w:val="009D6563"/>
    <w:rsid w:val="009D75DD"/>
    <w:rsid w:val="009E04AB"/>
    <w:rsid w:val="009E2667"/>
    <w:rsid w:val="009E2789"/>
    <w:rsid w:val="009E37C6"/>
    <w:rsid w:val="009E48A6"/>
    <w:rsid w:val="009E494A"/>
    <w:rsid w:val="009E6026"/>
    <w:rsid w:val="009F0ABC"/>
    <w:rsid w:val="009F1221"/>
    <w:rsid w:val="009F4836"/>
    <w:rsid w:val="009F50C6"/>
    <w:rsid w:val="009F7153"/>
    <w:rsid w:val="00A01A6E"/>
    <w:rsid w:val="00A01CC4"/>
    <w:rsid w:val="00A05F46"/>
    <w:rsid w:val="00A0637B"/>
    <w:rsid w:val="00A06B15"/>
    <w:rsid w:val="00A100DC"/>
    <w:rsid w:val="00A10727"/>
    <w:rsid w:val="00A12574"/>
    <w:rsid w:val="00A14272"/>
    <w:rsid w:val="00A142D2"/>
    <w:rsid w:val="00A15330"/>
    <w:rsid w:val="00A16604"/>
    <w:rsid w:val="00A16968"/>
    <w:rsid w:val="00A176C8"/>
    <w:rsid w:val="00A24BD9"/>
    <w:rsid w:val="00A25108"/>
    <w:rsid w:val="00A25831"/>
    <w:rsid w:val="00A25A1F"/>
    <w:rsid w:val="00A25F46"/>
    <w:rsid w:val="00A261FE"/>
    <w:rsid w:val="00A31AC1"/>
    <w:rsid w:val="00A32323"/>
    <w:rsid w:val="00A35CFC"/>
    <w:rsid w:val="00A36899"/>
    <w:rsid w:val="00A36AB6"/>
    <w:rsid w:val="00A400B4"/>
    <w:rsid w:val="00A40908"/>
    <w:rsid w:val="00A410CB"/>
    <w:rsid w:val="00A412B3"/>
    <w:rsid w:val="00A4215A"/>
    <w:rsid w:val="00A429C9"/>
    <w:rsid w:val="00A430B6"/>
    <w:rsid w:val="00A43499"/>
    <w:rsid w:val="00A438A8"/>
    <w:rsid w:val="00A451C9"/>
    <w:rsid w:val="00A45408"/>
    <w:rsid w:val="00A46FF1"/>
    <w:rsid w:val="00A47308"/>
    <w:rsid w:val="00A51E99"/>
    <w:rsid w:val="00A525B0"/>
    <w:rsid w:val="00A541DF"/>
    <w:rsid w:val="00A546CC"/>
    <w:rsid w:val="00A571E9"/>
    <w:rsid w:val="00A61129"/>
    <w:rsid w:val="00A61FCE"/>
    <w:rsid w:val="00A62948"/>
    <w:rsid w:val="00A62FDE"/>
    <w:rsid w:val="00A6427A"/>
    <w:rsid w:val="00A64D3C"/>
    <w:rsid w:val="00A714D1"/>
    <w:rsid w:val="00A720FA"/>
    <w:rsid w:val="00A720FF"/>
    <w:rsid w:val="00A733CC"/>
    <w:rsid w:val="00A74AB0"/>
    <w:rsid w:val="00A754FB"/>
    <w:rsid w:val="00A758FA"/>
    <w:rsid w:val="00A77CFA"/>
    <w:rsid w:val="00A77EBD"/>
    <w:rsid w:val="00A81990"/>
    <w:rsid w:val="00A838AE"/>
    <w:rsid w:val="00A85553"/>
    <w:rsid w:val="00A85E42"/>
    <w:rsid w:val="00A9177F"/>
    <w:rsid w:val="00A9190B"/>
    <w:rsid w:val="00A91D4A"/>
    <w:rsid w:val="00A9223C"/>
    <w:rsid w:val="00A938E9"/>
    <w:rsid w:val="00A94688"/>
    <w:rsid w:val="00A95464"/>
    <w:rsid w:val="00A966DE"/>
    <w:rsid w:val="00A9676D"/>
    <w:rsid w:val="00A96A67"/>
    <w:rsid w:val="00A9764F"/>
    <w:rsid w:val="00AA1480"/>
    <w:rsid w:val="00AA3924"/>
    <w:rsid w:val="00AA4770"/>
    <w:rsid w:val="00AA4899"/>
    <w:rsid w:val="00AA5C82"/>
    <w:rsid w:val="00AA5F5A"/>
    <w:rsid w:val="00AA64C3"/>
    <w:rsid w:val="00AB009C"/>
    <w:rsid w:val="00AB0916"/>
    <w:rsid w:val="00AB0A41"/>
    <w:rsid w:val="00AB0F2A"/>
    <w:rsid w:val="00AB1601"/>
    <w:rsid w:val="00AB24E7"/>
    <w:rsid w:val="00AB2FB8"/>
    <w:rsid w:val="00AB67C0"/>
    <w:rsid w:val="00AB754C"/>
    <w:rsid w:val="00AC1222"/>
    <w:rsid w:val="00AC4118"/>
    <w:rsid w:val="00AC784E"/>
    <w:rsid w:val="00AD0201"/>
    <w:rsid w:val="00AD0B7B"/>
    <w:rsid w:val="00AD1124"/>
    <w:rsid w:val="00AD1EE0"/>
    <w:rsid w:val="00AD345B"/>
    <w:rsid w:val="00AD4769"/>
    <w:rsid w:val="00AD4EC8"/>
    <w:rsid w:val="00AD57D3"/>
    <w:rsid w:val="00AD591A"/>
    <w:rsid w:val="00AD6C60"/>
    <w:rsid w:val="00AD7058"/>
    <w:rsid w:val="00AE0875"/>
    <w:rsid w:val="00AE3C7A"/>
    <w:rsid w:val="00AE453D"/>
    <w:rsid w:val="00AE5027"/>
    <w:rsid w:val="00AE6101"/>
    <w:rsid w:val="00AE683B"/>
    <w:rsid w:val="00AE72B3"/>
    <w:rsid w:val="00AF103F"/>
    <w:rsid w:val="00AF1EDC"/>
    <w:rsid w:val="00AF1F91"/>
    <w:rsid w:val="00AF3274"/>
    <w:rsid w:val="00AF454F"/>
    <w:rsid w:val="00AF5FDF"/>
    <w:rsid w:val="00AF60F1"/>
    <w:rsid w:val="00AF68AA"/>
    <w:rsid w:val="00AF6FAD"/>
    <w:rsid w:val="00B003CF"/>
    <w:rsid w:val="00B007ED"/>
    <w:rsid w:val="00B00E89"/>
    <w:rsid w:val="00B0198B"/>
    <w:rsid w:val="00B01B59"/>
    <w:rsid w:val="00B01FCB"/>
    <w:rsid w:val="00B02079"/>
    <w:rsid w:val="00B037B3"/>
    <w:rsid w:val="00B03B0A"/>
    <w:rsid w:val="00B0450C"/>
    <w:rsid w:val="00B079DC"/>
    <w:rsid w:val="00B07D5A"/>
    <w:rsid w:val="00B102EC"/>
    <w:rsid w:val="00B103A2"/>
    <w:rsid w:val="00B11566"/>
    <w:rsid w:val="00B12198"/>
    <w:rsid w:val="00B12F57"/>
    <w:rsid w:val="00B13DB9"/>
    <w:rsid w:val="00B15775"/>
    <w:rsid w:val="00B157F1"/>
    <w:rsid w:val="00B16D3F"/>
    <w:rsid w:val="00B17BA1"/>
    <w:rsid w:val="00B20194"/>
    <w:rsid w:val="00B2225B"/>
    <w:rsid w:val="00B22BD2"/>
    <w:rsid w:val="00B22D95"/>
    <w:rsid w:val="00B241F9"/>
    <w:rsid w:val="00B2597C"/>
    <w:rsid w:val="00B2606D"/>
    <w:rsid w:val="00B267FE"/>
    <w:rsid w:val="00B32369"/>
    <w:rsid w:val="00B32D38"/>
    <w:rsid w:val="00B3301B"/>
    <w:rsid w:val="00B34C18"/>
    <w:rsid w:val="00B34E99"/>
    <w:rsid w:val="00B35677"/>
    <w:rsid w:val="00B3654F"/>
    <w:rsid w:val="00B36E62"/>
    <w:rsid w:val="00B3715F"/>
    <w:rsid w:val="00B43DC6"/>
    <w:rsid w:val="00B45946"/>
    <w:rsid w:val="00B46210"/>
    <w:rsid w:val="00B46488"/>
    <w:rsid w:val="00B4770D"/>
    <w:rsid w:val="00B47AB0"/>
    <w:rsid w:val="00B47F2A"/>
    <w:rsid w:val="00B47F8C"/>
    <w:rsid w:val="00B502B7"/>
    <w:rsid w:val="00B53B74"/>
    <w:rsid w:val="00B545A5"/>
    <w:rsid w:val="00B54DC4"/>
    <w:rsid w:val="00B563B5"/>
    <w:rsid w:val="00B6138F"/>
    <w:rsid w:val="00B6181D"/>
    <w:rsid w:val="00B62382"/>
    <w:rsid w:val="00B6531C"/>
    <w:rsid w:val="00B654FE"/>
    <w:rsid w:val="00B65C75"/>
    <w:rsid w:val="00B66389"/>
    <w:rsid w:val="00B66794"/>
    <w:rsid w:val="00B66EDD"/>
    <w:rsid w:val="00B67541"/>
    <w:rsid w:val="00B6777A"/>
    <w:rsid w:val="00B728DC"/>
    <w:rsid w:val="00B7359C"/>
    <w:rsid w:val="00B738E3"/>
    <w:rsid w:val="00B740A8"/>
    <w:rsid w:val="00B744C3"/>
    <w:rsid w:val="00B7572D"/>
    <w:rsid w:val="00B76935"/>
    <w:rsid w:val="00B77168"/>
    <w:rsid w:val="00B7780F"/>
    <w:rsid w:val="00B80849"/>
    <w:rsid w:val="00B81193"/>
    <w:rsid w:val="00B81DDE"/>
    <w:rsid w:val="00B82F74"/>
    <w:rsid w:val="00B8344F"/>
    <w:rsid w:val="00B835A3"/>
    <w:rsid w:val="00B846C1"/>
    <w:rsid w:val="00B8654D"/>
    <w:rsid w:val="00B86B46"/>
    <w:rsid w:val="00B879EE"/>
    <w:rsid w:val="00B87B08"/>
    <w:rsid w:val="00B9031D"/>
    <w:rsid w:val="00B9127F"/>
    <w:rsid w:val="00B913F1"/>
    <w:rsid w:val="00B95D2D"/>
    <w:rsid w:val="00B975E9"/>
    <w:rsid w:val="00B97FA5"/>
    <w:rsid w:val="00BA0522"/>
    <w:rsid w:val="00BA065A"/>
    <w:rsid w:val="00BA304B"/>
    <w:rsid w:val="00BA3589"/>
    <w:rsid w:val="00BA3A22"/>
    <w:rsid w:val="00BA40DE"/>
    <w:rsid w:val="00BA4309"/>
    <w:rsid w:val="00BA49B8"/>
    <w:rsid w:val="00BA4EF0"/>
    <w:rsid w:val="00BA57E6"/>
    <w:rsid w:val="00BA5E6D"/>
    <w:rsid w:val="00BB06D1"/>
    <w:rsid w:val="00BB2536"/>
    <w:rsid w:val="00BB265A"/>
    <w:rsid w:val="00BB30F5"/>
    <w:rsid w:val="00BB3421"/>
    <w:rsid w:val="00BB37C2"/>
    <w:rsid w:val="00BB3805"/>
    <w:rsid w:val="00BB38B1"/>
    <w:rsid w:val="00BB433A"/>
    <w:rsid w:val="00BB45AA"/>
    <w:rsid w:val="00BB4B1B"/>
    <w:rsid w:val="00BB4CCA"/>
    <w:rsid w:val="00BB52C4"/>
    <w:rsid w:val="00BB6882"/>
    <w:rsid w:val="00BB6C21"/>
    <w:rsid w:val="00BB7711"/>
    <w:rsid w:val="00BC0559"/>
    <w:rsid w:val="00BC21C4"/>
    <w:rsid w:val="00BC321B"/>
    <w:rsid w:val="00BC35F9"/>
    <w:rsid w:val="00BC4819"/>
    <w:rsid w:val="00BC4DF6"/>
    <w:rsid w:val="00BC4ECD"/>
    <w:rsid w:val="00BC5431"/>
    <w:rsid w:val="00BC5870"/>
    <w:rsid w:val="00BC6A8C"/>
    <w:rsid w:val="00BC7B11"/>
    <w:rsid w:val="00BC7E59"/>
    <w:rsid w:val="00BC7F97"/>
    <w:rsid w:val="00BD4BAE"/>
    <w:rsid w:val="00BD57FE"/>
    <w:rsid w:val="00BD5893"/>
    <w:rsid w:val="00BD6C92"/>
    <w:rsid w:val="00BD7A77"/>
    <w:rsid w:val="00BE1DD6"/>
    <w:rsid w:val="00BE329B"/>
    <w:rsid w:val="00BE7E36"/>
    <w:rsid w:val="00BF0E62"/>
    <w:rsid w:val="00BF0E99"/>
    <w:rsid w:val="00BF127B"/>
    <w:rsid w:val="00BF1D09"/>
    <w:rsid w:val="00BF3A1A"/>
    <w:rsid w:val="00BF4424"/>
    <w:rsid w:val="00BF5870"/>
    <w:rsid w:val="00BF7B69"/>
    <w:rsid w:val="00C0019E"/>
    <w:rsid w:val="00C0056C"/>
    <w:rsid w:val="00C00E5A"/>
    <w:rsid w:val="00C01271"/>
    <w:rsid w:val="00C01C03"/>
    <w:rsid w:val="00C02B14"/>
    <w:rsid w:val="00C0340F"/>
    <w:rsid w:val="00C04BB2"/>
    <w:rsid w:val="00C05552"/>
    <w:rsid w:val="00C05AD9"/>
    <w:rsid w:val="00C072EE"/>
    <w:rsid w:val="00C10D39"/>
    <w:rsid w:val="00C136FE"/>
    <w:rsid w:val="00C139A4"/>
    <w:rsid w:val="00C14232"/>
    <w:rsid w:val="00C15C9E"/>
    <w:rsid w:val="00C161EA"/>
    <w:rsid w:val="00C172B2"/>
    <w:rsid w:val="00C17699"/>
    <w:rsid w:val="00C17ED6"/>
    <w:rsid w:val="00C21E2B"/>
    <w:rsid w:val="00C22AA9"/>
    <w:rsid w:val="00C2374D"/>
    <w:rsid w:val="00C24152"/>
    <w:rsid w:val="00C24160"/>
    <w:rsid w:val="00C243A2"/>
    <w:rsid w:val="00C2494F"/>
    <w:rsid w:val="00C25D15"/>
    <w:rsid w:val="00C27931"/>
    <w:rsid w:val="00C30E04"/>
    <w:rsid w:val="00C31190"/>
    <w:rsid w:val="00C315A2"/>
    <w:rsid w:val="00C32175"/>
    <w:rsid w:val="00C3245A"/>
    <w:rsid w:val="00C33336"/>
    <w:rsid w:val="00C33696"/>
    <w:rsid w:val="00C33820"/>
    <w:rsid w:val="00C33B4C"/>
    <w:rsid w:val="00C357F1"/>
    <w:rsid w:val="00C35C1C"/>
    <w:rsid w:val="00C365FA"/>
    <w:rsid w:val="00C3699A"/>
    <w:rsid w:val="00C37C54"/>
    <w:rsid w:val="00C428B0"/>
    <w:rsid w:val="00C42A3E"/>
    <w:rsid w:val="00C42BEE"/>
    <w:rsid w:val="00C42F42"/>
    <w:rsid w:val="00C442BA"/>
    <w:rsid w:val="00C446F5"/>
    <w:rsid w:val="00C462E0"/>
    <w:rsid w:val="00C505D1"/>
    <w:rsid w:val="00C53023"/>
    <w:rsid w:val="00C53A1A"/>
    <w:rsid w:val="00C53FF7"/>
    <w:rsid w:val="00C5401E"/>
    <w:rsid w:val="00C5651D"/>
    <w:rsid w:val="00C56AC0"/>
    <w:rsid w:val="00C61099"/>
    <w:rsid w:val="00C610AA"/>
    <w:rsid w:val="00C61755"/>
    <w:rsid w:val="00C63083"/>
    <w:rsid w:val="00C65708"/>
    <w:rsid w:val="00C659A7"/>
    <w:rsid w:val="00C65E69"/>
    <w:rsid w:val="00C675C9"/>
    <w:rsid w:val="00C700C3"/>
    <w:rsid w:val="00C73406"/>
    <w:rsid w:val="00C734ED"/>
    <w:rsid w:val="00C748B0"/>
    <w:rsid w:val="00C75359"/>
    <w:rsid w:val="00C75855"/>
    <w:rsid w:val="00C768E2"/>
    <w:rsid w:val="00C8055B"/>
    <w:rsid w:val="00C809B1"/>
    <w:rsid w:val="00C80E6E"/>
    <w:rsid w:val="00C81CB6"/>
    <w:rsid w:val="00C83F8C"/>
    <w:rsid w:val="00C843C0"/>
    <w:rsid w:val="00C85007"/>
    <w:rsid w:val="00C86959"/>
    <w:rsid w:val="00C8749C"/>
    <w:rsid w:val="00C874EF"/>
    <w:rsid w:val="00C879B3"/>
    <w:rsid w:val="00C90382"/>
    <w:rsid w:val="00C944C4"/>
    <w:rsid w:val="00C949A9"/>
    <w:rsid w:val="00C95DA4"/>
    <w:rsid w:val="00C96CAD"/>
    <w:rsid w:val="00CA3DCC"/>
    <w:rsid w:val="00CA5168"/>
    <w:rsid w:val="00CA53E7"/>
    <w:rsid w:val="00CA5854"/>
    <w:rsid w:val="00CA5D2A"/>
    <w:rsid w:val="00CB0D4E"/>
    <w:rsid w:val="00CB1C4A"/>
    <w:rsid w:val="00CB25AE"/>
    <w:rsid w:val="00CB28DB"/>
    <w:rsid w:val="00CB2ABD"/>
    <w:rsid w:val="00CB4A01"/>
    <w:rsid w:val="00CB5A73"/>
    <w:rsid w:val="00CB6CF9"/>
    <w:rsid w:val="00CB75B7"/>
    <w:rsid w:val="00CC0C1B"/>
    <w:rsid w:val="00CC0D56"/>
    <w:rsid w:val="00CC2652"/>
    <w:rsid w:val="00CC2E4F"/>
    <w:rsid w:val="00CC3577"/>
    <w:rsid w:val="00CC4753"/>
    <w:rsid w:val="00CC4969"/>
    <w:rsid w:val="00CC4F99"/>
    <w:rsid w:val="00CC59BF"/>
    <w:rsid w:val="00CC6F49"/>
    <w:rsid w:val="00CC7269"/>
    <w:rsid w:val="00CD213C"/>
    <w:rsid w:val="00CD2720"/>
    <w:rsid w:val="00CD27EE"/>
    <w:rsid w:val="00CD576C"/>
    <w:rsid w:val="00CD76E6"/>
    <w:rsid w:val="00CD7A7E"/>
    <w:rsid w:val="00CE065A"/>
    <w:rsid w:val="00CE087C"/>
    <w:rsid w:val="00CE3B83"/>
    <w:rsid w:val="00CE3C5F"/>
    <w:rsid w:val="00CE3CE9"/>
    <w:rsid w:val="00CE436F"/>
    <w:rsid w:val="00CE45DB"/>
    <w:rsid w:val="00CE4979"/>
    <w:rsid w:val="00CE4A10"/>
    <w:rsid w:val="00CE525A"/>
    <w:rsid w:val="00CE7FCB"/>
    <w:rsid w:val="00CF1195"/>
    <w:rsid w:val="00CF181A"/>
    <w:rsid w:val="00CF1A4C"/>
    <w:rsid w:val="00CF1BE2"/>
    <w:rsid w:val="00CF450F"/>
    <w:rsid w:val="00CF5CA3"/>
    <w:rsid w:val="00D01E70"/>
    <w:rsid w:val="00D02613"/>
    <w:rsid w:val="00D04BFF"/>
    <w:rsid w:val="00D053B6"/>
    <w:rsid w:val="00D06013"/>
    <w:rsid w:val="00D07251"/>
    <w:rsid w:val="00D10B8B"/>
    <w:rsid w:val="00D12FDA"/>
    <w:rsid w:val="00D13C3C"/>
    <w:rsid w:val="00D15881"/>
    <w:rsid w:val="00D160BC"/>
    <w:rsid w:val="00D175B7"/>
    <w:rsid w:val="00D17A4D"/>
    <w:rsid w:val="00D17FC1"/>
    <w:rsid w:val="00D2014F"/>
    <w:rsid w:val="00D201A9"/>
    <w:rsid w:val="00D208D2"/>
    <w:rsid w:val="00D20EB4"/>
    <w:rsid w:val="00D22A5F"/>
    <w:rsid w:val="00D23B89"/>
    <w:rsid w:val="00D23D74"/>
    <w:rsid w:val="00D23F02"/>
    <w:rsid w:val="00D25131"/>
    <w:rsid w:val="00D27835"/>
    <w:rsid w:val="00D31C99"/>
    <w:rsid w:val="00D32701"/>
    <w:rsid w:val="00D335A1"/>
    <w:rsid w:val="00D34242"/>
    <w:rsid w:val="00D34A95"/>
    <w:rsid w:val="00D34D8F"/>
    <w:rsid w:val="00D34E58"/>
    <w:rsid w:val="00D34EA2"/>
    <w:rsid w:val="00D35454"/>
    <w:rsid w:val="00D3687C"/>
    <w:rsid w:val="00D37E29"/>
    <w:rsid w:val="00D40FDB"/>
    <w:rsid w:val="00D41556"/>
    <w:rsid w:val="00D421D8"/>
    <w:rsid w:val="00D436CE"/>
    <w:rsid w:val="00D4709B"/>
    <w:rsid w:val="00D477C4"/>
    <w:rsid w:val="00D47BF1"/>
    <w:rsid w:val="00D52D65"/>
    <w:rsid w:val="00D52DFC"/>
    <w:rsid w:val="00D5452B"/>
    <w:rsid w:val="00D55B67"/>
    <w:rsid w:val="00D60F04"/>
    <w:rsid w:val="00D62E18"/>
    <w:rsid w:val="00D63337"/>
    <w:rsid w:val="00D638D4"/>
    <w:rsid w:val="00D63A97"/>
    <w:rsid w:val="00D65425"/>
    <w:rsid w:val="00D65A84"/>
    <w:rsid w:val="00D662FF"/>
    <w:rsid w:val="00D669A8"/>
    <w:rsid w:val="00D67005"/>
    <w:rsid w:val="00D67702"/>
    <w:rsid w:val="00D67C59"/>
    <w:rsid w:val="00D7084B"/>
    <w:rsid w:val="00D73BD7"/>
    <w:rsid w:val="00D74646"/>
    <w:rsid w:val="00D75362"/>
    <w:rsid w:val="00D75E4C"/>
    <w:rsid w:val="00D762F9"/>
    <w:rsid w:val="00D778C5"/>
    <w:rsid w:val="00D81E5A"/>
    <w:rsid w:val="00D829E4"/>
    <w:rsid w:val="00D83029"/>
    <w:rsid w:val="00D85A79"/>
    <w:rsid w:val="00D864A3"/>
    <w:rsid w:val="00D86851"/>
    <w:rsid w:val="00D873A3"/>
    <w:rsid w:val="00D87731"/>
    <w:rsid w:val="00D9090E"/>
    <w:rsid w:val="00D935F9"/>
    <w:rsid w:val="00D93C0D"/>
    <w:rsid w:val="00D949A0"/>
    <w:rsid w:val="00D952F5"/>
    <w:rsid w:val="00D95A0A"/>
    <w:rsid w:val="00D96195"/>
    <w:rsid w:val="00D96229"/>
    <w:rsid w:val="00DA3836"/>
    <w:rsid w:val="00DA4B0B"/>
    <w:rsid w:val="00DA520C"/>
    <w:rsid w:val="00DA5950"/>
    <w:rsid w:val="00DA6746"/>
    <w:rsid w:val="00DB16EF"/>
    <w:rsid w:val="00DB181D"/>
    <w:rsid w:val="00DB1DC1"/>
    <w:rsid w:val="00DB34FF"/>
    <w:rsid w:val="00DB574A"/>
    <w:rsid w:val="00DB5A36"/>
    <w:rsid w:val="00DB5FA5"/>
    <w:rsid w:val="00DB691E"/>
    <w:rsid w:val="00DC0891"/>
    <w:rsid w:val="00DC094B"/>
    <w:rsid w:val="00DC2A82"/>
    <w:rsid w:val="00DC2ED2"/>
    <w:rsid w:val="00DC3524"/>
    <w:rsid w:val="00DC35C5"/>
    <w:rsid w:val="00DC4C36"/>
    <w:rsid w:val="00DC4E42"/>
    <w:rsid w:val="00DC6A1F"/>
    <w:rsid w:val="00DC762B"/>
    <w:rsid w:val="00DD1003"/>
    <w:rsid w:val="00DD1651"/>
    <w:rsid w:val="00DD1A5A"/>
    <w:rsid w:val="00DD2510"/>
    <w:rsid w:val="00DD2F29"/>
    <w:rsid w:val="00DD3A2E"/>
    <w:rsid w:val="00DD3B78"/>
    <w:rsid w:val="00DD4216"/>
    <w:rsid w:val="00DD59E8"/>
    <w:rsid w:val="00DD5B6C"/>
    <w:rsid w:val="00DE0001"/>
    <w:rsid w:val="00DE00B9"/>
    <w:rsid w:val="00DE0A92"/>
    <w:rsid w:val="00DE1CF3"/>
    <w:rsid w:val="00DE24CF"/>
    <w:rsid w:val="00DE424B"/>
    <w:rsid w:val="00DE4F11"/>
    <w:rsid w:val="00DE5072"/>
    <w:rsid w:val="00DE553A"/>
    <w:rsid w:val="00DE687A"/>
    <w:rsid w:val="00DF0CF0"/>
    <w:rsid w:val="00DF0D3E"/>
    <w:rsid w:val="00DF1606"/>
    <w:rsid w:val="00DF2104"/>
    <w:rsid w:val="00DF2CD5"/>
    <w:rsid w:val="00DF346C"/>
    <w:rsid w:val="00DF422A"/>
    <w:rsid w:val="00DF43B1"/>
    <w:rsid w:val="00DF49A2"/>
    <w:rsid w:val="00DF4A25"/>
    <w:rsid w:val="00DF6E54"/>
    <w:rsid w:val="00DF74EB"/>
    <w:rsid w:val="00DF7841"/>
    <w:rsid w:val="00E017EB"/>
    <w:rsid w:val="00E02456"/>
    <w:rsid w:val="00E02659"/>
    <w:rsid w:val="00E028BF"/>
    <w:rsid w:val="00E0296C"/>
    <w:rsid w:val="00E04736"/>
    <w:rsid w:val="00E04AE1"/>
    <w:rsid w:val="00E1303A"/>
    <w:rsid w:val="00E13D62"/>
    <w:rsid w:val="00E158CB"/>
    <w:rsid w:val="00E15CA3"/>
    <w:rsid w:val="00E1717B"/>
    <w:rsid w:val="00E2054D"/>
    <w:rsid w:val="00E20664"/>
    <w:rsid w:val="00E2133D"/>
    <w:rsid w:val="00E22215"/>
    <w:rsid w:val="00E23184"/>
    <w:rsid w:val="00E23303"/>
    <w:rsid w:val="00E24118"/>
    <w:rsid w:val="00E26061"/>
    <w:rsid w:val="00E2689F"/>
    <w:rsid w:val="00E27E6C"/>
    <w:rsid w:val="00E30C20"/>
    <w:rsid w:val="00E30F41"/>
    <w:rsid w:val="00E33696"/>
    <w:rsid w:val="00E3395A"/>
    <w:rsid w:val="00E33B27"/>
    <w:rsid w:val="00E340A5"/>
    <w:rsid w:val="00E341A8"/>
    <w:rsid w:val="00E35122"/>
    <w:rsid w:val="00E362B4"/>
    <w:rsid w:val="00E37CCD"/>
    <w:rsid w:val="00E40171"/>
    <w:rsid w:val="00E405B0"/>
    <w:rsid w:val="00E40B8E"/>
    <w:rsid w:val="00E418DE"/>
    <w:rsid w:val="00E42748"/>
    <w:rsid w:val="00E43427"/>
    <w:rsid w:val="00E44145"/>
    <w:rsid w:val="00E44BD7"/>
    <w:rsid w:val="00E464B9"/>
    <w:rsid w:val="00E47003"/>
    <w:rsid w:val="00E4732E"/>
    <w:rsid w:val="00E500E1"/>
    <w:rsid w:val="00E50B31"/>
    <w:rsid w:val="00E5216F"/>
    <w:rsid w:val="00E52DC2"/>
    <w:rsid w:val="00E531A1"/>
    <w:rsid w:val="00E53465"/>
    <w:rsid w:val="00E53505"/>
    <w:rsid w:val="00E5412F"/>
    <w:rsid w:val="00E54FF4"/>
    <w:rsid w:val="00E55C89"/>
    <w:rsid w:val="00E57173"/>
    <w:rsid w:val="00E60152"/>
    <w:rsid w:val="00E60DEA"/>
    <w:rsid w:val="00E61D8E"/>
    <w:rsid w:val="00E64ADF"/>
    <w:rsid w:val="00E65A36"/>
    <w:rsid w:val="00E65AF0"/>
    <w:rsid w:val="00E66027"/>
    <w:rsid w:val="00E720AF"/>
    <w:rsid w:val="00E7221F"/>
    <w:rsid w:val="00E72268"/>
    <w:rsid w:val="00E7436C"/>
    <w:rsid w:val="00E75088"/>
    <w:rsid w:val="00E75F39"/>
    <w:rsid w:val="00E76C30"/>
    <w:rsid w:val="00E7749A"/>
    <w:rsid w:val="00E77B07"/>
    <w:rsid w:val="00E80F81"/>
    <w:rsid w:val="00E81D58"/>
    <w:rsid w:val="00E826BF"/>
    <w:rsid w:val="00E8409A"/>
    <w:rsid w:val="00E850DC"/>
    <w:rsid w:val="00E8527A"/>
    <w:rsid w:val="00E862C4"/>
    <w:rsid w:val="00E86743"/>
    <w:rsid w:val="00E86C06"/>
    <w:rsid w:val="00E870AC"/>
    <w:rsid w:val="00E90314"/>
    <w:rsid w:val="00E90FF5"/>
    <w:rsid w:val="00E9203C"/>
    <w:rsid w:val="00E9216F"/>
    <w:rsid w:val="00E923C0"/>
    <w:rsid w:val="00E94072"/>
    <w:rsid w:val="00E9561E"/>
    <w:rsid w:val="00E959AE"/>
    <w:rsid w:val="00EA12AF"/>
    <w:rsid w:val="00EA2678"/>
    <w:rsid w:val="00EA2FED"/>
    <w:rsid w:val="00EA4BF3"/>
    <w:rsid w:val="00EA7D11"/>
    <w:rsid w:val="00EA7F40"/>
    <w:rsid w:val="00EB0F40"/>
    <w:rsid w:val="00EB4F7F"/>
    <w:rsid w:val="00EB527B"/>
    <w:rsid w:val="00EB549D"/>
    <w:rsid w:val="00EB6203"/>
    <w:rsid w:val="00EB64B0"/>
    <w:rsid w:val="00EC0230"/>
    <w:rsid w:val="00EC08C7"/>
    <w:rsid w:val="00EC0C07"/>
    <w:rsid w:val="00EC1C29"/>
    <w:rsid w:val="00EC1D6D"/>
    <w:rsid w:val="00EC4047"/>
    <w:rsid w:val="00EC46EB"/>
    <w:rsid w:val="00EC53B5"/>
    <w:rsid w:val="00EC70BB"/>
    <w:rsid w:val="00EC73CD"/>
    <w:rsid w:val="00ED0155"/>
    <w:rsid w:val="00ED08BC"/>
    <w:rsid w:val="00ED10E1"/>
    <w:rsid w:val="00ED42D1"/>
    <w:rsid w:val="00ED43A7"/>
    <w:rsid w:val="00ED7CAF"/>
    <w:rsid w:val="00EE017C"/>
    <w:rsid w:val="00EE0B3C"/>
    <w:rsid w:val="00EE25B4"/>
    <w:rsid w:val="00EE2EDA"/>
    <w:rsid w:val="00EE4A37"/>
    <w:rsid w:val="00EE5778"/>
    <w:rsid w:val="00EE77A7"/>
    <w:rsid w:val="00EE79F1"/>
    <w:rsid w:val="00EF2C54"/>
    <w:rsid w:val="00EF4653"/>
    <w:rsid w:val="00EF4A9E"/>
    <w:rsid w:val="00EF62CF"/>
    <w:rsid w:val="00EF6ECA"/>
    <w:rsid w:val="00EF7045"/>
    <w:rsid w:val="00F00BF3"/>
    <w:rsid w:val="00F0273C"/>
    <w:rsid w:val="00F06A4F"/>
    <w:rsid w:val="00F0763F"/>
    <w:rsid w:val="00F07EB8"/>
    <w:rsid w:val="00F105AA"/>
    <w:rsid w:val="00F10761"/>
    <w:rsid w:val="00F10F94"/>
    <w:rsid w:val="00F11FAE"/>
    <w:rsid w:val="00F13ABD"/>
    <w:rsid w:val="00F14636"/>
    <w:rsid w:val="00F14C1A"/>
    <w:rsid w:val="00F161A7"/>
    <w:rsid w:val="00F1761F"/>
    <w:rsid w:val="00F202E7"/>
    <w:rsid w:val="00F21916"/>
    <w:rsid w:val="00F2301D"/>
    <w:rsid w:val="00F23326"/>
    <w:rsid w:val="00F2356D"/>
    <w:rsid w:val="00F23F8E"/>
    <w:rsid w:val="00F241FE"/>
    <w:rsid w:val="00F248EC"/>
    <w:rsid w:val="00F265EF"/>
    <w:rsid w:val="00F26D2C"/>
    <w:rsid w:val="00F2771B"/>
    <w:rsid w:val="00F30645"/>
    <w:rsid w:val="00F3070B"/>
    <w:rsid w:val="00F30BB3"/>
    <w:rsid w:val="00F30E67"/>
    <w:rsid w:val="00F3208A"/>
    <w:rsid w:val="00F32624"/>
    <w:rsid w:val="00F34444"/>
    <w:rsid w:val="00F349D4"/>
    <w:rsid w:val="00F36240"/>
    <w:rsid w:val="00F362C6"/>
    <w:rsid w:val="00F37318"/>
    <w:rsid w:val="00F4009A"/>
    <w:rsid w:val="00F40A12"/>
    <w:rsid w:val="00F41E80"/>
    <w:rsid w:val="00F429A5"/>
    <w:rsid w:val="00F42CCD"/>
    <w:rsid w:val="00F453B2"/>
    <w:rsid w:val="00F466E2"/>
    <w:rsid w:val="00F47136"/>
    <w:rsid w:val="00F50B17"/>
    <w:rsid w:val="00F51163"/>
    <w:rsid w:val="00F528BF"/>
    <w:rsid w:val="00F53EE7"/>
    <w:rsid w:val="00F541E4"/>
    <w:rsid w:val="00F54782"/>
    <w:rsid w:val="00F547E4"/>
    <w:rsid w:val="00F5548D"/>
    <w:rsid w:val="00F556CA"/>
    <w:rsid w:val="00F577B5"/>
    <w:rsid w:val="00F5796F"/>
    <w:rsid w:val="00F60212"/>
    <w:rsid w:val="00F61A54"/>
    <w:rsid w:val="00F62ED9"/>
    <w:rsid w:val="00F63BD1"/>
    <w:rsid w:val="00F64139"/>
    <w:rsid w:val="00F660F5"/>
    <w:rsid w:val="00F66E85"/>
    <w:rsid w:val="00F66F7C"/>
    <w:rsid w:val="00F67461"/>
    <w:rsid w:val="00F70BB7"/>
    <w:rsid w:val="00F71CD2"/>
    <w:rsid w:val="00F72DC5"/>
    <w:rsid w:val="00F73A6A"/>
    <w:rsid w:val="00F7418A"/>
    <w:rsid w:val="00F749FB"/>
    <w:rsid w:val="00F74E66"/>
    <w:rsid w:val="00F76AF6"/>
    <w:rsid w:val="00F76FCD"/>
    <w:rsid w:val="00F77A15"/>
    <w:rsid w:val="00F807E4"/>
    <w:rsid w:val="00F80F7A"/>
    <w:rsid w:val="00F8309A"/>
    <w:rsid w:val="00F84122"/>
    <w:rsid w:val="00F8694E"/>
    <w:rsid w:val="00F870F0"/>
    <w:rsid w:val="00F87E03"/>
    <w:rsid w:val="00F900ED"/>
    <w:rsid w:val="00F9087C"/>
    <w:rsid w:val="00F92EA6"/>
    <w:rsid w:val="00F936D7"/>
    <w:rsid w:val="00F95CF8"/>
    <w:rsid w:val="00F96005"/>
    <w:rsid w:val="00FA1618"/>
    <w:rsid w:val="00FA1FE6"/>
    <w:rsid w:val="00FA2A3B"/>
    <w:rsid w:val="00FA3A26"/>
    <w:rsid w:val="00FA3E63"/>
    <w:rsid w:val="00FA3F02"/>
    <w:rsid w:val="00FA50D7"/>
    <w:rsid w:val="00FA7521"/>
    <w:rsid w:val="00FA7883"/>
    <w:rsid w:val="00FB1130"/>
    <w:rsid w:val="00FB11EC"/>
    <w:rsid w:val="00FB13EA"/>
    <w:rsid w:val="00FB2A7C"/>
    <w:rsid w:val="00FB2D95"/>
    <w:rsid w:val="00FB3E14"/>
    <w:rsid w:val="00FC0095"/>
    <w:rsid w:val="00FC1462"/>
    <w:rsid w:val="00FC1E0B"/>
    <w:rsid w:val="00FC45C1"/>
    <w:rsid w:val="00FC71E8"/>
    <w:rsid w:val="00FD0BAF"/>
    <w:rsid w:val="00FD39E4"/>
    <w:rsid w:val="00FD3EE4"/>
    <w:rsid w:val="00FD4093"/>
    <w:rsid w:val="00FD4B93"/>
    <w:rsid w:val="00FD5633"/>
    <w:rsid w:val="00FD5678"/>
    <w:rsid w:val="00FE030F"/>
    <w:rsid w:val="00FE099E"/>
    <w:rsid w:val="00FE0CE6"/>
    <w:rsid w:val="00FE0E11"/>
    <w:rsid w:val="00FE2332"/>
    <w:rsid w:val="00FE545F"/>
    <w:rsid w:val="00FE596B"/>
    <w:rsid w:val="00FE66E4"/>
    <w:rsid w:val="00FE6C9A"/>
    <w:rsid w:val="00FE7188"/>
    <w:rsid w:val="00FE7B61"/>
    <w:rsid w:val="00FF01E6"/>
    <w:rsid w:val="00FF0D1E"/>
    <w:rsid w:val="00FF1006"/>
    <w:rsid w:val="00FF1F64"/>
    <w:rsid w:val="00FF200E"/>
    <w:rsid w:val="00FF223C"/>
    <w:rsid w:val="00FF2756"/>
    <w:rsid w:val="00FF3AEB"/>
    <w:rsid w:val="00FF4BE9"/>
    <w:rsid w:val="00FF67F5"/>
    <w:rsid w:val="00FF75C1"/>
    <w:rsid w:val="00FF7C81"/>
    <w:rsid w:val="00FF7F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309EF8"/>
  <w15:docId w15:val="{FEB554DE-B0FB-498A-8573-D7ECDC48D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PH" w:eastAsia="en-PH" w:bidi="ar-SA"/>
      </w:rPr>
    </w:rPrDefault>
    <w:pPrDefault>
      <w:pPr>
        <w:spacing w:line="0" w:lineRule="atLeas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25B4"/>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25B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Resume Title"/>
    <w:basedOn w:val="Normal"/>
    <w:link w:val="ListParagraphChar"/>
    <w:uiPriority w:val="34"/>
    <w:qFormat/>
    <w:rsid w:val="00EE25B4"/>
    <w:pPr>
      <w:ind w:left="720"/>
      <w:contextualSpacing/>
    </w:pPr>
  </w:style>
  <w:style w:type="paragraph" w:styleId="NormalWeb">
    <w:name w:val="Normal (Web)"/>
    <w:basedOn w:val="Normal"/>
    <w:uiPriority w:val="99"/>
    <w:unhideWhenUsed/>
    <w:rsid w:val="00780A21"/>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780A21"/>
  </w:style>
  <w:style w:type="paragraph" w:styleId="Header">
    <w:name w:val="header"/>
    <w:basedOn w:val="Normal"/>
    <w:link w:val="HeaderChar"/>
    <w:uiPriority w:val="99"/>
    <w:unhideWhenUsed/>
    <w:rsid w:val="00EF4A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4A9E"/>
  </w:style>
  <w:style w:type="paragraph" w:styleId="Footer">
    <w:name w:val="footer"/>
    <w:basedOn w:val="Normal"/>
    <w:link w:val="FooterChar"/>
    <w:uiPriority w:val="99"/>
    <w:unhideWhenUsed/>
    <w:rsid w:val="00EF4A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4A9E"/>
  </w:style>
  <w:style w:type="paragraph" w:styleId="BalloonText">
    <w:name w:val="Balloon Text"/>
    <w:basedOn w:val="Normal"/>
    <w:link w:val="BalloonTextChar"/>
    <w:uiPriority w:val="99"/>
    <w:semiHidden/>
    <w:unhideWhenUsed/>
    <w:rsid w:val="00E13D6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E13D62"/>
    <w:rPr>
      <w:rFonts w:ascii="Tahoma" w:hAnsi="Tahoma" w:cs="Tahoma"/>
      <w:sz w:val="16"/>
      <w:szCs w:val="16"/>
      <w:lang w:val="en-US" w:eastAsia="en-US"/>
    </w:rPr>
  </w:style>
  <w:style w:type="paragraph" w:styleId="NoSpacing">
    <w:name w:val="No Spacing"/>
    <w:uiPriority w:val="1"/>
    <w:qFormat/>
    <w:rsid w:val="00035B9A"/>
    <w:rPr>
      <w:sz w:val="22"/>
      <w:szCs w:val="22"/>
      <w:lang w:val="en-US" w:eastAsia="en-US"/>
    </w:rPr>
  </w:style>
  <w:style w:type="numbering" w:customStyle="1" w:styleId="Style5">
    <w:name w:val="Style5"/>
    <w:uiPriority w:val="99"/>
    <w:rsid w:val="00245C54"/>
    <w:pPr>
      <w:numPr>
        <w:numId w:val="1"/>
      </w:numPr>
    </w:pPr>
  </w:style>
  <w:style w:type="character" w:customStyle="1" w:styleId="ListParagraphChar">
    <w:name w:val="List Paragraph Char"/>
    <w:aliases w:val="Resume Title Char"/>
    <w:link w:val="ListParagraph"/>
    <w:uiPriority w:val="34"/>
    <w:locked/>
    <w:rsid w:val="00A261FE"/>
    <w:rPr>
      <w:sz w:val="22"/>
      <w:szCs w:val="22"/>
      <w:lang w:val="en-US" w:eastAsia="en-US"/>
    </w:rPr>
  </w:style>
  <w:style w:type="character" w:styleId="CommentReference">
    <w:name w:val="annotation reference"/>
    <w:basedOn w:val="DefaultParagraphFont"/>
    <w:uiPriority w:val="99"/>
    <w:semiHidden/>
    <w:unhideWhenUsed/>
    <w:rsid w:val="0062519A"/>
    <w:rPr>
      <w:sz w:val="16"/>
      <w:szCs w:val="16"/>
    </w:rPr>
  </w:style>
  <w:style w:type="paragraph" w:styleId="CommentText">
    <w:name w:val="annotation text"/>
    <w:basedOn w:val="Normal"/>
    <w:link w:val="CommentTextChar"/>
    <w:uiPriority w:val="99"/>
    <w:semiHidden/>
    <w:unhideWhenUsed/>
    <w:rsid w:val="0062519A"/>
    <w:pPr>
      <w:spacing w:line="240" w:lineRule="auto"/>
    </w:pPr>
    <w:rPr>
      <w:sz w:val="20"/>
      <w:szCs w:val="20"/>
    </w:rPr>
  </w:style>
  <w:style w:type="character" w:customStyle="1" w:styleId="CommentTextChar">
    <w:name w:val="Comment Text Char"/>
    <w:basedOn w:val="DefaultParagraphFont"/>
    <w:link w:val="CommentText"/>
    <w:uiPriority w:val="99"/>
    <w:semiHidden/>
    <w:rsid w:val="0062519A"/>
    <w:rPr>
      <w:lang w:val="en-US" w:eastAsia="en-US"/>
    </w:rPr>
  </w:style>
  <w:style w:type="paragraph" w:styleId="CommentSubject">
    <w:name w:val="annotation subject"/>
    <w:basedOn w:val="CommentText"/>
    <w:next w:val="CommentText"/>
    <w:link w:val="CommentSubjectChar"/>
    <w:uiPriority w:val="99"/>
    <w:semiHidden/>
    <w:unhideWhenUsed/>
    <w:rsid w:val="0062519A"/>
    <w:rPr>
      <w:b/>
      <w:bCs/>
    </w:rPr>
  </w:style>
  <w:style w:type="character" w:customStyle="1" w:styleId="CommentSubjectChar">
    <w:name w:val="Comment Subject Char"/>
    <w:basedOn w:val="CommentTextChar"/>
    <w:link w:val="CommentSubject"/>
    <w:uiPriority w:val="99"/>
    <w:semiHidden/>
    <w:rsid w:val="0062519A"/>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7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FBBA2-F6C8-47CD-AEF8-A24027F41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13</Pages>
  <Words>4108</Words>
  <Characters>23418</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Status of Implementation of Prior Years' Audit Recommendations</vt:lpstr>
    </vt:vector>
  </TitlesOfParts>
  <Company/>
  <LinksUpToDate>false</LinksUpToDate>
  <CharactersWithSpaces>27472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Status of Implementation of Prior Years' Audit Recommendations</dc:title>
  <dc:creator>COA - National Tobacco Administration</dc:creator>
  <cp:lastModifiedBy>Riziel C. Garcia</cp:lastModifiedBy>
  <cp:revision>115</cp:revision>
  <cp:lastPrinted>2020-09-18T03:14:00Z</cp:lastPrinted>
  <dcterms:created xsi:type="dcterms:W3CDTF">2020-09-16T01:55:00Z</dcterms:created>
  <dcterms:modified xsi:type="dcterms:W3CDTF">2020-09-22T07:58:00Z</dcterms:modified>
</cp:coreProperties>
</file>