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7E8" w:rsidRPr="00110CFD" w:rsidRDefault="004947E8" w:rsidP="00110CFD">
      <w:pPr>
        <w:jc w:val="center"/>
        <w:rPr>
          <w:b/>
          <w:color w:val="auto"/>
        </w:rPr>
      </w:pPr>
      <w:bookmarkStart w:id="0" w:name="_GoBack"/>
      <w:bookmarkEnd w:id="0"/>
      <w:r w:rsidRPr="00110CFD">
        <w:rPr>
          <w:b/>
          <w:color w:val="auto"/>
        </w:rPr>
        <w:t>EXECUTIVE SUMMARY</w:t>
      </w:r>
    </w:p>
    <w:p w:rsidR="004947E8" w:rsidRPr="00A7575A" w:rsidRDefault="004947E8" w:rsidP="005C0558">
      <w:pPr>
        <w:pStyle w:val="NoSpacing"/>
        <w:jc w:val="both"/>
        <w:rPr>
          <w:rFonts w:ascii="Arial" w:hAnsi="Arial" w:cs="Arial"/>
          <w:b/>
          <w:sz w:val="18"/>
          <w:szCs w:val="18"/>
        </w:rPr>
      </w:pPr>
    </w:p>
    <w:p w:rsidR="004947E8" w:rsidRPr="00650CE4" w:rsidRDefault="004947E8" w:rsidP="005C0558">
      <w:pPr>
        <w:pStyle w:val="NoSpacing"/>
        <w:jc w:val="both"/>
        <w:rPr>
          <w:rFonts w:ascii="Arial" w:hAnsi="Arial" w:cs="Arial"/>
          <w:b/>
        </w:rPr>
      </w:pPr>
      <w:r w:rsidRPr="00650CE4">
        <w:rPr>
          <w:rFonts w:ascii="Arial" w:hAnsi="Arial" w:cs="Arial"/>
          <w:b/>
        </w:rPr>
        <w:t>INTRODUCTION</w:t>
      </w:r>
    </w:p>
    <w:p w:rsidR="004947E8" w:rsidRPr="00A7575A" w:rsidRDefault="004947E8" w:rsidP="005C0558">
      <w:pPr>
        <w:pStyle w:val="NoSpacing"/>
        <w:jc w:val="both"/>
        <w:rPr>
          <w:rFonts w:ascii="Arial" w:hAnsi="Arial" w:cs="Arial"/>
          <w:sz w:val="18"/>
          <w:szCs w:val="18"/>
        </w:rPr>
      </w:pPr>
    </w:p>
    <w:p w:rsidR="00372260" w:rsidRDefault="004947E8" w:rsidP="005C0558">
      <w:pPr>
        <w:pStyle w:val="NoSpacing"/>
        <w:jc w:val="both"/>
        <w:rPr>
          <w:rFonts w:ascii="Arial" w:hAnsi="Arial" w:cs="Arial"/>
        </w:rPr>
      </w:pPr>
      <w:r w:rsidRPr="005C0558">
        <w:rPr>
          <w:rFonts w:ascii="Arial" w:hAnsi="Arial" w:cs="Arial"/>
        </w:rPr>
        <w:t>The National Tobacco Administration (NTA) with business address at Scout Reyes, corner Panay Avenue, Quezon City is an attached agency of the Department of</w:t>
      </w:r>
      <w:r w:rsidR="00726F63">
        <w:rPr>
          <w:rFonts w:ascii="Arial" w:hAnsi="Arial" w:cs="Arial"/>
        </w:rPr>
        <w:t xml:space="preserve"> </w:t>
      </w:r>
      <w:r w:rsidRPr="005C0558">
        <w:rPr>
          <w:rFonts w:ascii="Arial" w:hAnsi="Arial" w:cs="Arial"/>
        </w:rPr>
        <w:t xml:space="preserve">Agriculture operating under the administration of Mr. Robert </w:t>
      </w:r>
      <w:r w:rsidR="003228A6">
        <w:rPr>
          <w:rFonts w:ascii="Arial" w:hAnsi="Arial" w:cs="Arial"/>
        </w:rPr>
        <w:t>Victor G</w:t>
      </w:r>
      <w:r w:rsidRPr="005C0558">
        <w:rPr>
          <w:rFonts w:ascii="Arial" w:hAnsi="Arial" w:cs="Arial"/>
        </w:rPr>
        <w:t xml:space="preserve">. Seares, </w:t>
      </w:r>
      <w:r w:rsidR="003228A6">
        <w:rPr>
          <w:rFonts w:ascii="Arial" w:hAnsi="Arial" w:cs="Arial"/>
        </w:rPr>
        <w:t>Jr.</w:t>
      </w:r>
      <w:r w:rsidRPr="005C0558">
        <w:rPr>
          <w:rFonts w:ascii="Arial" w:hAnsi="Arial" w:cs="Arial"/>
        </w:rPr>
        <w:t>, the Head of the Agency.</w:t>
      </w:r>
      <w:r w:rsidR="004F3A71">
        <w:rPr>
          <w:rFonts w:ascii="Arial" w:hAnsi="Arial" w:cs="Arial"/>
        </w:rPr>
        <w:t xml:space="preserve">  </w:t>
      </w:r>
      <w:r w:rsidRPr="005C0558">
        <w:rPr>
          <w:rFonts w:ascii="Arial" w:hAnsi="Arial" w:cs="Arial"/>
        </w:rPr>
        <w:t xml:space="preserve">It is created under Executive Order </w:t>
      </w:r>
      <w:r w:rsidR="00BF5B1B">
        <w:rPr>
          <w:rFonts w:ascii="Arial" w:hAnsi="Arial" w:cs="Arial"/>
        </w:rPr>
        <w:t xml:space="preserve">(EO) </w:t>
      </w:r>
      <w:r w:rsidRPr="005C0558">
        <w:rPr>
          <w:rFonts w:ascii="Arial" w:hAnsi="Arial" w:cs="Arial"/>
        </w:rPr>
        <w:t xml:space="preserve">No. 116 dated January 30, 1987, which was implemented by EO No. 245 dated July 24, 1987. </w:t>
      </w:r>
      <w:r w:rsidR="00A15B5A">
        <w:rPr>
          <w:rFonts w:ascii="Arial" w:hAnsi="Arial" w:cs="Arial"/>
        </w:rPr>
        <w:t xml:space="preserve"> </w:t>
      </w:r>
      <w:r w:rsidR="00372260">
        <w:rPr>
          <w:rFonts w:ascii="Arial" w:hAnsi="Arial" w:cs="Arial"/>
        </w:rPr>
        <w:t>Under EO No. 245, seven tobacco agencies were merged to the NTA, namely, Philippine Tobacco Administration; Philippine Virginia Tobacco</w:t>
      </w:r>
      <w:r w:rsidR="00AC196A">
        <w:rPr>
          <w:rFonts w:ascii="Arial" w:hAnsi="Arial" w:cs="Arial"/>
        </w:rPr>
        <w:t xml:space="preserve"> </w:t>
      </w:r>
      <w:r w:rsidR="00372260">
        <w:rPr>
          <w:rFonts w:ascii="Arial" w:hAnsi="Arial" w:cs="Arial"/>
        </w:rPr>
        <w:t>Administration; Philippine Virginia Tobacco Board; Philippine Tobacco Research and Training Center; Virginia Tobacco Fuel Wood</w:t>
      </w:r>
      <w:r w:rsidR="00AC196A">
        <w:rPr>
          <w:rFonts w:ascii="Arial" w:hAnsi="Arial" w:cs="Arial"/>
        </w:rPr>
        <w:t xml:space="preserve"> </w:t>
      </w:r>
      <w:r w:rsidR="00372260">
        <w:rPr>
          <w:rFonts w:ascii="Arial" w:hAnsi="Arial" w:cs="Arial"/>
        </w:rPr>
        <w:t>Corporation; Virginia Flue-Curing Board</w:t>
      </w:r>
      <w:r w:rsidR="00726F63">
        <w:rPr>
          <w:rFonts w:ascii="Arial" w:hAnsi="Arial" w:cs="Arial"/>
        </w:rPr>
        <w:t>; and National Tobacco Classification Council.</w:t>
      </w:r>
    </w:p>
    <w:p w:rsidR="00372260" w:rsidRPr="00A7575A" w:rsidRDefault="00372260" w:rsidP="005C0558">
      <w:pPr>
        <w:pStyle w:val="NoSpacing"/>
        <w:jc w:val="both"/>
        <w:rPr>
          <w:rFonts w:ascii="Arial" w:hAnsi="Arial" w:cs="Arial"/>
          <w:sz w:val="18"/>
          <w:szCs w:val="18"/>
        </w:rPr>
      </w:pPr>
    </w:p>
    <w:p w:rsidR="004947E8" w:rsidRPr="00ED6E65" w:rsidRDefault="004947E8" w:rsidP="005C0558">
      <w:pPr>
        <w:pStyle w:val="NoSpacing"/>
        <w:jc w:val="both"/>
        <w:rPr>
          <w:rFonts w:ascii="Arial" w:hAnsi="Arial" w:cs="Arial"/>
        </w:rPr>
      </w:pPr>
      <w:r w:rsidRPr="005C0558">
        <w:rPr>
          <w:rFonts w:ascii="Arial" w:hAnsi="Arial" w:cs="Arial"/>
        </w:rPr>
        <w:t xml:space="preserve">The NTA is </w:t>
      </w:r>
      <w:r w:rsidRPr="00ED6E65">
        <w:rPr>
          <w:rFonts w:ascii="Arial" w:hAnsi="Arial" w:cs="Arial"/>
        </w:rPr>
        <w:t>mandated to: (a) improve the economic and living conditions and</w:t>
      </w:r>
      <w:r w:rsidR="00ED6E65">
        <w:rPr>
          <w:rFonts w:ascii="Arial" w:hAnsi="Arial" w:cs="Arial"/>
        </w:rPr>
        <w:t xml:space="preserve"> raise </w:t>
      </w:r>
      <w:r w:rsidRPr="00ED6E65">
        <w:rPr>
          <w:rFonts w:ascii="Arial" w:hAnsi="Arial" w:cs="Arial"/>
        </w:rPr>
        <w:t>the quality of life of the tobacco farmers including those who depend upon the industry for their livelihood; and (b) promote the balanced and integrated growth and development of the industry and help make agriculture a solid base for</w:t>
      </w:r>
      <w:r w:rsidR="00ED6E65">
        <w:rPr>
          <w:rFonts w:ascii="Arial" w:hAnsi="Arial" w:cs="Arial"/>
        </w:rPr>
        <w:t xml:space="preserve"> ma</w:t>
      </w:r>
      <w:r w:rsidRPr="00ED6E65">
        <w:rPr>
          <w:rFonts w:ascii="Arial" w:hAnsi="Arial" w:cs="Arial"/>
        </w:rPr>
        <w:t>ssive industrialization.</w:t>
      </w:r>
      <w:r w:rsidR="00ED6E65">
        <w:rPr>
          <w:rFonts w:ascii="Arial" w:hAnsi="Arial" w:cs="Arial"/>
        </w:rPr>
        <w:t xml:space="preserve">  </w:t>
      </w:r>
      <w:r w:rsidRPr="00ED6E65">
        <w:rPr>
          <w:rFonts w:ascii="Arial" w:hAnsi="Arial" w:cs="Arial"/>
        </w:rPr>
        <w:t>The Agency also administers and regulates the tobacco industry of the Philippines.</w:t>
      </w:r>
    </w:p>
    <w:p w:rsidR="00372260" w:rsidRPr="00ED6E65" w:rsidRDefault="00372260" w:rsidP="005C0558">
      <w:pPr>
        <w:pStyle w:val="NoSpacing"/>
        <w:jc w:val="both"/>
        <w:rPr>
          <w:rFonts w:ascii="Arial" w:hAnsi="Arial" w:cs="Arial"/>
          <w:sz w:val="18"/>
          <w:szCs w:val="18"/>
        </w:rPr>
      </w:pPr>
    </w:p>
    <w:p w:rsidR="004947E8" w:rsidRPr="00ED6E65" w:rsidRDefault="004947E8" w:rsidP="005C0558">
      <w:pPr>
        <w:pStyle w:val="NoSpacing"/>
        <w:jc w:val="both"/>
        <w:rPr>
          <w:rFonts w:ascii="Arial" w:hAnsi="Arial" w:cs="Arial"/>
        </w:rPr>
      </w:pPr>
      <w:r w:rsidRPr="00ED6E65">
        <w:rPr>
          <w:rFonts w:ascii="Arial" w:hAnsi="Arial" w:cs="Arial"/>
        </w:rPr>
        <w:t>As at December 31, 201</w:t>
      </w:r>
      <w:r w:rsidR="00761D44" w:rsidRPr="00ED6E65">
        <w:rPr>
          <w:rFonts w:ascii="Arial" w:hAnsi="Arial" w:cs="Arial"/>
        </w:rPr>
        <w:t>9</w:t>
      </w:r>
      <w:r w:rsidRPr="00ED6E65">
        <w:rPr>
          <w:rFonts w:ascii="Arial" w:hAnsi="Arial" w:cs="Arial"/>
        </w:rPr>
        <w:t xml:space="preserve">, NTA’s manpower complement consisted </w:t>
      </w:r>
      <w:r w:rsidRPr="004105A1">
        <w:rPr>
          <w:rFonts w:ascii="Arial" w:hAnsi="Arial" w:cs="Arial"/>
        </w:rPr>
        <w:t xml:space="preserve">of </w:t>
      </w:r>
      <w:r w:rsidR="00AB3848" w:rsidRPr="004105A1">
        <w:rPr>
          <w:rFonts w:ascii="Arial" w:hAnsi="Arial" w:cs="Arial"/>
        </w:rPr>
        <w:t>27</w:t>
      </w:r>
      <w:r w:rsidR="00B53305" w:rsidRPr="004105A1">
        <w:rPr>
          <w:rFonts w:ascii="Arial" w:hAnsi="Arial" w:cs="Arial"/>
        </w:rPr>
        <w:t>3</w:t>
      </w:r>
      <w:r w:rsidRPr="004105A1">
        <w:rPr>
          <w:rFonts w:ascii="Arial" w:hAnsi="Arial" w:cs="Arial"/>
        </w:rPr>
        <w:t xml:space="preserve"> regular personnel and </w:t>
      </w:r>
      <w:r w:rsidR="00B53305" w:rsidRPr="004105A1">
        <w:rPr>
          <w:rFonts w:ascii="Arial" w:hAnsi="Arial" w:cs="Arial"/>
        </w:rPr>
        <w:t>205</w:t>
      </w:r>
      <w:r w:rsidRPr="004105A1">
        <w:rPr>
          <w:rFonts w:ascii="Arial" w:hAnsi="Arial" w:cs="Arial"/>
        </w:rPr>
        <w:t xml:space="preserve"> job order employees, of whom </w:t>
      </w:r>
      <w:r w:rsidR="00B53305" w:rsidRPr="004105A1">
        <w:rPr>
          <w:rFonts w:ascii="Arial" w:hAnsi="Arial" w:cs="Arial"/>
        </w:rPr>
        <w:t>38</w:t>
      </w:r>
      <w:r w:rsidRPr="004105A1">
        <w:rPr>
          <w:rFonts w:ascii="Arial" w:hAnsi="Arial" w:cs="Arial"/>
        </w:rPr>
        <w:t xml:space="preserve"> were assigned in the Central Office</w:t>
      </w:r>
      <w:r w:rsidR="002F3FA6" w:rsidRPr="004105A1">
        <w:rPr>
          <w:rFonts w:ascii="Arial" w:hAnsi="Arial" w:cs="Arial"/>
        </w:rPr>
        <w:t xml:space="preserve"> (CO)</w:t>
      </w:r>
      <w:r w:rsidRPr="004105A1">
        <w:rPr>
          <w:rFonts w:ascii="Arial" w:hAnsi="Arial" w:cs="Arial"/>
        </w:rPr>
        <w:t xml:space="preserve">, </w:t>
      </w:r>
      <w:r w:rsidR="00AB3848" w:rsidRPr="004105A1">
        <w:rPr>
          <w:rFonts w:ascii="Arial" w:hAnsi="Arial" w:cs="Arial"/>
        </w:rPr>
        <w:t>1</w:t>
      </w:r>
      <w:r w:rsidR="00B53305" w:rsidRPr="004105A1">
        <w:rPr>
          <w:rFonts w:ascii="Arial" w:hAnsi="Arial" w:cs="Arial"/>
        </w:rPr>
        <w:t>32</w:t>
      </w:r>
      <w:r w:rsidRPr="004105A1">
        <w:rPr>
          <w:rFonts w:ascii="Arial" w:hAnsi="Arial" w:cs="Arial"/>
        </w:rPr>
        <w:t xml:space="preserve"> in the Branch Offices</w:t>
      </w:r>
      <w:r w:rsidR="009312F1">
        <w:rPr>
          <w:rFonts w:ascii="Arial" w:hAnsi="Arial" w:cs="Arial"/>
        </w:rPr>
        <w:t xml:space="preserve"> (BOs)</w:t>
      </w:r>
      <w:r w:rsidRPr="004105A1">
        <w:rPr>
          <w:rFonts w:ascii="Arial" w:hAnsi="Arial" w:cs="Arial"/>
        </w:rPr>
        <w:t xml:space="preserve">, </w:t>
      </w:r>
      <w:r w:rsidR="00B53305" w:rsidRPr="004105A1">
        <w:rPr>
          <w:rFonts w:ascii="Arial" w:hAnsi="Arial" w:cs="Arial"/>
        </w:rPr>
        <w:t>30</w:t>
      </w:r>
      <w:r w:rsidRPr="004105A1">
        <w:rPr>
          <w:rFonts w:ascii="Arial" w:hAnsi="Arial" w:cs="Arial"/>
        </w:rPr>
        <w:t xml:space="preserve"> at the AgriPinoy Tobacco Food Processing and Trading Center, </w:t>
      </w:r>
      <w:r w:rsidR="00B04457" w:rsidRPr="004105A1">
        <w:rPr>
          <w:rFonts w:ascii="Arial" w:hAnsi="Arial" w:cs="Arial"/>
        </w:rPr>
        <w:t>five</w:t>
      </w:r>
      <w:r w:rsidRPr="004105A1">
        <w:rPr>
          <w:rFonts w:ascii="Arial" w:hAnsi="Arial" w:cs="Arial"/>
        </w:rPr>
        <w:t xml:space="preserve"> at Tobacco Dust Processing Plant in Sto. Tomas, La Union</w:t>
      </w:r>
      <w:r w:rsidR="00B53305" w:rsidRPr="004105A1">
        <w:rPr>
          <w:rFonts w:ascii="Arial" w:hAnsi="Arial" w:cs="Arial"/>
        </w:rPr>
        <w:t>, and 35 trading clerks</w:t>
      </w:r>
      <w:r w:rsidRPr="004105A1">
        <w:rPr>
          <w:rFonts w:ascii="Arial" w:hAnsi="Arial" w:cs="Arial"/>
        </w:rPr>
        <w:t>.</w:t>
      </w:r>
    </w:p>
    <w:p w:rsidR="00A7575A" w:rsidRPr="00ED6E65" w:rsidRDefault="00A7575A" w:rsidP="005C0558">
      <w:pPr>
        <w:pStyle w:val="NoSpacing"/>
        <w:jc w:val="both"/>
        <w:rPr>
          <w:rFonts w:ascii="Arial" w:hAnsi="Arial" w:cs="Arial"/>
          <w:b/>
          <w:sz w:val="16"/>
          <w:szCs w:val="16"/>
        </w:rPr>
      </w:pPr>
    </w:p>
    <w:p w:rsidR="00A7575A" w:rsidRPr="00110CFD" w:rsidRDefault="00A7575A" w:rsidP="005C0558">
      <w:pPr>
        <w:pStyle w:val="NoSpacing"/>
        <w:jc w:val="both"/>
        <w:rPr>
          <w:rFonts w:ascii="Arial" w:hAnsi="Arial" w:cs="Arial"/>
          <w:b/>
          <w:sz w:val="16"/>
          <w:szCs w:val="16"/>
        </w:rPr>
      </w:pPr>
    </w:p>
    <w:p w:rsidR="004947E8" w:rsidRPr="00650CE4" w:rsidRDefault="004947E8" w:rsidP="005C0558">
      <w:pPr>
        <w:pStyle w:val="NoSpacing"/>
        <w:jc w:val="both"/>
        <w:rPr>
          <w:rFonts w:ascii="Arial" w:hAnsi="Arial" w:cs="Arial"/>
          <w:b/>
        </w:rPr>
      </w:pPr>
      <w:r w:rsidRPr="00650CE4">
        <w:rPr>
          <w:rFonts w:ascii="Arial" w:hAnsi="Arial" w:cs="Arial"/>
          <w:b/>
        </w:rPr>
        <w:t>FINANCIAL HIGHLIGHTS (In Million Pesos)</w:t>
      </w:r>
    </w:p>
    <w:p w:rsidR="00A65F84" w:rsidRPr="00A7575A" w:rsidRDefault="00A65F84" w:rsidP="005C0558">
      <w:pPr>
        <w:pStyle w:val="NoSpacing"/>
        <w:jc w:val="both"/>
        <w:rPr>
          <w:rFonts w:ascii="Arial" w:hAnsi="Arial" w:cs="Arial"/>
          <w:b/>
          <w:sz w:val="18"/>
          <w:szCs w:val="18"/>
        </w:rPr>
      </w:pPr>
    </w:p>
    <w:p w:rsidR="004947E8" w:rsidRPr="00A1086B" w:rsidRDefault="004947E8" w:rsidP="00A15B5A">
      <w:pPr>
        <w:pStyle w:val="NoSpacing"/>
        <w:tabs>
          <w:tab w:val="left" w:pos="360"/>
        </w:tabs>
        <w:jc w:val="both"/>
        <w:rPr>
          <w:rFonts w:ascii="Arial" w:hAnsi="Arial" w:cs="Arial"/>
          <w:b/>
          <w:sz w:val="20"/>
          <w:szCs w:val="20"/>
        </w:rPr>
      </w:pPr>
      <w:r w:rsidRPr="00A1086B">
        <w:rPr>
          <w:rFonts w:ascii="Arial" w:hAnsi="Arial" w:cs="Arial"/>
          <w:b/>
          <w:sz w:val="20"/>
          <w:szCs w:val="20"/>
        </w:rPr>
        <w:t>I.</w:t>
      </w:r>
      <w:r w:rsidRPr="00A1086B">
        <w:rPr>
          <w:rFonts w:ascii="Arial" w:hAnsi="Arial" w:cs="Arial"/>
          <w:b/>
          <w:sz w:val="20"/>
          <w:szCs w:val="20"/>
        </w:rPr>
        <w:tab/>
        <w:t>Comparative Financial Position</w:t>
      </w:r>
    </w:p>
    <w:p w:rsidR="004947E8" w:rsidRPr="00A7575A" w:rsidRDefault="004947E8" w:rsidP="005C0558">
      <w:pPr>
        <w:pStyle w:val="NoSpacing"/>
        <w:jc w:val="both"/>
        <w:rPr>
          <w:rFonts w:ascii="Arial" w:hAnsi="Arial" w:cs="Arial"/>
          <w:sz w:val="18"/>
          <w:szCs w:val="18"/>
        </w:rPr>
      </w:pPr>
    </w:p>
    <w:tbl>
      <w:tblPr>
        <w:tblW w:w="8667" w:type="dxa"/>
        <w:tblInd w:w="108" w:type="dxa"/>
        <w:tblLook w:val="04A0" w:firstRow="1" w:lastRow="0" w:firstColumn="1" w:lastColumn="0" w:noHBand="0" w:noVBand="1"/>
      </w:tblPr>
      <w:tblGrid>
        <w:gridCol w:w="4680"/>
        <w:gridCol w:w="1440"/>
        <w:gridCol w:w="1251"/>
        <w:gridCol w:w="1296"/>
      </w:tblGrid>
      <w:tr w:rsidR="004947E8" w:rsidRPr="000D1F78" w:rsidTr="00110CFD">
        <w:trPr>
          <w:trHeight w:val="89"/>
        </w:trPr>
        <w:tc>
          <w:tcPr>
            <w:tcW w:w="4680" w:type="dxa"/>
            <w:tcBorders>
              <w:top w:val="single" w:sz="4" w:space="0" w:color="auto"/>
              <w:bottom w:val="single" w:sz="4" w:space="0" w:color="auto"/>
            </w:tcBorders>
            <w:shd w:val="clear" w:color="auto" w:fill="auto"/>
          </w:tcPr>
          <w:p w:rsidR="004947E8" w:rsidRPr="000D1F78" w:rsidRDefault="004947E8" w:rsidP="000D1F78">
            <w:pPr>
              <w:pStyle w:val="NoSpacing"/>
              <w:ind w:left="-109"/>
              <w:jc w:val="both"/>
              <w:rPr>
                <w:rFonts w:ascii="Arial" w:hAnsi="Arial" w:cs="Arial"/>
                <w:b/>
                <w:color w:val="000000"/>
                <w:sz w:val="16"/>
                <w:szCs w:val="16"/>
                <w:lang w:val="en-US"/>
              </w:rPr>
            </w:pPr>
          </w:p>
        </w:tc>
        <w:tc>
          <w:tcPr>
            <w:tcW w:w="1440" w:type="dxa"/>
            <w:tcBorders>
              <w:top w:val="single" w:sz="4" w:space="0" w:color="auto"/>
              <w:bottom w:val="single" w:sz="4" w:space="0" w:color="auto"/>
            </w:tcBorders>
            <w:shd w:val="clear" w:color="auto" w:fill="auto"/>
            <w:vAlign w:val="bottom"/>
          </w:tcPr>
          <w:p w:rsidR="004947E8" w:rsidRPr="000D1F78" w:rsidRDefault="004947E8" w:rsidP="000D1F78">
            <w:pPr>
              <w:pStyle w:val="NoSpacing"/>
              <w:jc w:val="right"/>
              <w:rPr>
                <w:rFonts w:ascii="Arial" w:hAnsi="Arial" w:cs="Arial"/>
                <w:b/>
                <w:color w:val="000000"/>
                <w:sz w:val="16"/>
                <w:szCs w:val="16"/>
                <w:lang w:val="en-US"/>
              </w:rPr>
            </w:pPr>
            <w:r w:rsidRPr="000D1F78">
              <w:rPr>
                <w:rFonts w:ascii="Arial" w:hAnsi="Arial" w:cs="Arial"/>
                <w:b/>
                <w:color w:val="000000"/>
                <w:sz w:val="16"/>
                <w:szCs w:val="16"/>
                <w:lang w:val="en-US"/>
              </w:rPr>
              <w:t>201</w:t>
            </w:r>
            <w:r w:rsidR="00761D44" w:rsidRPr="000D1F78">
              <w:rPr>
                <w:rFonts w:ascii="Arial" w:hAnsi="Arial" w:cs="Arial"/>
                <w:b/>
                <w:color w:val="000000"/>
                <w:sz w:val="16"/>
                <w:szCs w:val="16"/>
                <w:lang w:val="en-US"/>
              </w:rPr>
              <w:t>9</w:t>
            </w:r>
          </w:p>
        </w:tc>
        <w:tc>
          <w:tcPr>
            <w:tcW w:w="1251" w:type="dxa"/>
            <w:tcBorders>
              <w:top w:val="single" w:sz="4" w:space="0" w:color="auto"/>
              <w:bottom w:val="single" w:sz="4" w:space="0" w:color="auto"/>
            </w:tcBorders>
            <w:shd w:val="clear" w:color="auto" w:fill="auto"/>
            <w:vAlign w:val="bottom"/>
          </w:tcPr>
          <w:p w:rsidR="004947E8" w:rsidRPr="000D1F78" w:rsidRDefault="004947E8" w:rsidP="000D1F78">
            <w:pPr>
              <w:pStyle w:val="NoSpacing"/>
              <w:jc w:val="right"/>
              <w:rPr>
                <w:rFonts w:ascii="Arial" w:hAnsi="Arial" w:cs="Arial"/>
                <w:b/>
                <w:color w:val="000000"/>
                <w:sz w:val="16"/>
                <w:szCs w:val="16"/>
                <w:lang w:val="en-US"/>
              </w:rPr>
            </w:pPr>
            <w:r w:rsidRPr="000D1F78">
              <w:rPr>
                <w:rFonts w:ascii="Arial" w:hAnsi="Arial" w:cs="Arial"/>
                <w:b/>
                <w:color w:val="000000"/>
                <w:sz w:val="16"/>
                <w:szCs w:val="16"/>
                <w:lang w:val="en-US"/>
              </w:rPr>
              <w:t>201</w:t>
            </w:r>
            <w:r w:rsidR="00FA36F7" w:rsidRPr="000D1F78">
              <w:rPr>
                <w:rFonts w:ascii="Arial" w:hAnsi="Arial" w:cs="Arial"/>
                <w:b/>
                <w:color w:val="000000"/>
                <w:sz w:val="16"/>
                <w:szCs w:val="16"/>
                <w:lang w:val="en-US"/>
              </w:rPr>
              <w:t>8</w:t>
            </w:r>
          </w:p>
        </w:tc>
        <w:tc>
          <w:tcPr>
            <w:tcW w:w="1296" w:type="dxa"/>
            <w:tcBorders>
              <w:top w:val="single" w:sz="4" w:space="0" w:color="auto"/>
              <w:bottom w:val="single" w:sz="4" w:space="0" w:color="auto"/>
            </w:tcBorders>
            <w:shd w:val="clear" w:color="auto" w:fill="auto"/>
            <w:vAlign w:val="bottom"/>
          </w:tcPr>
          <w:p w:rsidR="004947E8" w:rsidRPr="000D1F78" w:rsidRDefault="004947E8" w:rsidP="000D1F78">
            <w:pPr>
              <w:pStyle w:val="NoSpacing"/>
              <w:ind w:right="-76"/>
              <w:jc w:val="right"/>
              <w:rPr>
                <w:rFonts w:ascii="Arial" w:hAnsi="Arial" w:cs="Arial"/>
                <w:b/>
                <w:color w:val="000000"/>
                <w:sz w:val="16"/>
                <w:szCs w:val="16"/>
                <w:lang w:val="en-US"/>
              </w:rPr>
            </w:pPr>
            <w:r w:rsidRPr="000D1F78">
              <w:rPr>
                <w:rFonts w:ascii="Arial" w:hAnsi="Arial" w:cs="Arial"/>
                <w:b/>
                <w:color w:val="000000"/>
                <w:sz w:val="16"/>
                <w:szCs w:val="16"/>
                <w:lang w:val="en-US"/>
              </w:rPr>
              <w:t>Increase</w:t>
            </w:r>
            <w:r w:rsidR="00FA36F7" w:rsidRPr="000D1F78">
              <w:rPr>
                <w:rFonts w:ascii="Arial" w:hAnsi="Arial" w:cs="Arial"/>
                <w:b/>
                <w:color w:val="000000"/>
                <w:sz w:val="16"/>
                <w:szCs w:val="16"/>
                <w:lang w:val="en-US"/>
              </w:rPr>
              <w:t xml:space="preserve"> (Decrease)</w:t>
            </w:r>
          </w:p>
        </w:tc>
      </w:tr>
      <w:tr w:rsidR="004947E8" w:rsidRPr="000D1F78" w:rsidTr="00110CFD">
        <w:tc>
          <w:tcPr>
            <w:tcW w:w="4680" w:type="dxa"/>
            <w:tcBorders>
              <w:top w:val="single" w:sz="4" w:space="0" w:color="auto"/>
            </w:tcBorders>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Total assets</w:t>
            </w:r>
          </w:p>
        </w:tc>
        <w:tc>
          <w:tcPr>
            <w:tcW w:w="1440" w:type="dxa"/>
            <w:tcBorders>
              <w:top w:val="single" w:sz="4" w:space="0" w:color="auto"/>
            </w:tcBorders>
            <w:shd w:val="clear" w:color="auto" w:fill="auto"/>
            <w:vAlign w:val="bottom"/>
          </w:tcPr>
          <w:p w:rsidR="004947E8" w:rsidRPr="000D1F78" w:rsidRDefault="00C8777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1,8</w:t>
            </w:r>
            <w:r w:rsidR="00FA36F7" w:rsidRPr="000D1F78">
              <w:rPr>
                <w:rFonts w:ascii="Arial" w:hAnsi="Arial" w:cs="Arial"/>
                <w:color w:val="000000"/>
                <w:sz w:val="16"/>
                <w:szCs w:val="16"/>
                <w:lang w:val="en-US"/>
              </w:rPr>
              <w:t>42</w:t>
            </w:r>
            <w:r w:rsidRPr="000D1F78">
              <w:rPr>
                <w:rFonts w:ascii="Arial" w:hAnsi="Arial" w:cs="Arial"/>
                <w:color w:val="000000"/>
                <w:sz w:val="16"/>
                <w:szCs w:val="16"/>
                <w:lang w:val="en-US"/>
              </w:rPr>
              <w:t>.</w:t>
            </w:r>
            <w:r w:rsidR="00FA36F7" w:rsidRPr="000D1F78">
              <w:rPr>
                <w:rFonts w:ascii="Arial" w:hAnsi="Arial" w:cs="Arial"/>
                <w:color w:val="000000"/>
                <w:sz w:val="16"/>
                <w:szCs w:val="16"/>
                <w:lang w:val="en-US"/>
              </w:rPr>
              <w:t>434</w:t>
            </w:r>
          </w:p>
        </w:tc>
        <w:tc>
          <w:tcPr>
            <w:tcW w:w="1251" w:type="dxa"/>
            <w:tcBorders>
              <w:top w:val="single" w:sz="4" w:space="0" w:color="auto"/>
            </w:tcBorders>
            <w:shd w:val="clear" w:color="auto" w:fill="auto"/>
            <w:vAlign w:val="bottom"/>
          </w:tcPr>
          <w:p w:rsidR="004947E8" w:rsidRPr="000D1F78" w:rsidRDefault="004947E8"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1,</w:t>
            </w:r>
            <w:r w:rsidR="00FA36F7" w:rsidRPr="000D1F78">
              <w:rPr>
                <w:rFonts w:ascii="Arial" w:hAnsi="Arial" w:cs="Arial"/>
                <w:color w:val="000000"/>
                <w:sz w:val="16"/>
                <w:szCs w:val="16"/>
                <w:lang w:val="en-US"/>
              </w:rPr>
              <w:t>818</w:t>
            </w:r>
            <w:r w:rsidRPr="000D1F78">
              <w:rPr>
                <w:rFonts w:ascii="Arial" w:hAnsi="Arial" w:cs="Arial"/>
                <w:color w:val="000000"/>
                <w:sz w:val="16"/>
                <w:szCs w:val="16"/>
                <w:lang w:val="en-US"/>
              </w:rPr>
              <w:t>.</w:t>
            </w:r>
            <w:r w:rsidR="00FA36F7" w:rsidRPr="000D1F78">
              <w:rPr>
                <w:rFonts w:ascii="Arial" w:hAnsi="Arial" w:cs="Arial"/>
                <w:color w:val="000000"/>
                <w:sz w:val="16"/>
                <w:szCs w:val="16"/>
                <w:lang w:val="en-US"/>
              </w:rPr>
              <w:t>838</w:t>
            </w:r>
          </w:p>
        </w:tc>
        <w:tc>
          <w:tcPr>
            <w:tcW w:w="1296" w:type="dxa"/>
            <w:tcBorders>
              <w:top w:val="single" w:sz="4" w:space="0" w:color="auto"/>
            </w:tcBorders>
            <w:shd w:val="clear" w:color="auto" w:fill="auto"/>
            <w:vAlign w:val="bottom"/>
          </w:tcPr>
          <w:p w:rsidR="004947E8" w:rsidRPr="000D1F78" w:rsidRDefault="00FA36F7"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t>23.596</w:t>
            </w:r>
          </w:p>
        </w:tc>
      </w:tr>
      <w:tr w:rsidR="004947E8" w:rsidRPr="000D1F78" w:rsidTr="00110CFD">
        <w:tc>
          <w:tcPr>
            <w:tcW w:w="4680" w:type="dxa"/>
            <w:tcBorders>
              <w:bottom w:val="single" w:sz="4" w:space="0" w:color="auto"/>
            </w:tcBorders>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Total liabilities</w:t>
            </w:r>
          </w:p>
        </w:tc>
        <w:tc>
          <w:tcPr>
            <w:tcW w:w="1440" w:type="dxa"/>
            <w:tcBorders>
              <w:bottom w:val="single" w:sz="4" w:space="0" w:color="auto"/>
            </w:tcBorders>
            <w:shd w:val="clear" w:color="auto" w:fill="auto"/>
            <w:vAlign w:val="bottom"/>
          </w:tcPr>
          <w:p w:rsidR="004947E8" w:rsidRPr="000D1F78" w:rsidRDefault="00FA36F7"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350</w:t>
            </w:r>
            <w:r w:rsidR="00C87772" w:rsidRPr="000D1F78">
              <w:rPr>
                <w:rFonts w:ascii="Arial" w:hAnsi="Arial" w:cs="Arial"/>
                <w:color w:val="000000"/>
                <w:sz w:val="16"/>
                <w:szCs w:val="16"/>
                <w:lang w:val="en-US"/>
              </w:rPr>
              <w:t>.</w:t>
            </w:r>
            <w:r w:rsidRPr="000D1F78">
              <w:rPr>
                <w:rFonts w:ascii="Arial" w:hAnsi="Arial" w:cs="Arial"/>
                <w:color w:val="000000"/>
                <w:sz w:val="16"/>
                <w:szCs w:val="16"/>
                <w:lang w:val="en-US"/>
              </w:rPr>
              <w:t>197</w:t>
            </w:r>
          </w:p>
        </w:tc>
        <w:tc>
          <w:tcPr>
            <w:tcW w:w="1251" w:type="dxa"/>
            <w:tcBorders>
              <w:bottom w:val="single" w:sz="4" w:space="0" w:color="auto"/>
            </w:tcBorders>
            <w:shd w:val="clear" w:color="auto" w:fill="auto"/>
            <w:vAlign w:val="bottom"/>
          </w:tcPr>
          <w:p w:rsidR="004947E8" w:rsidRPr="000D1F78" w:rsidRDefault="00FA36F7"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350</w:t>
            </w:r>
            <w:r w:rsidR="004947E8" w:rsidRPr="000D1F78">
              <w:rPr>
                <w:rFonts w:ascii="Arial" w:hAnsi="Arial" w:cs="Arial"/>
                <w:color w:val="000000"/>
                <w:sz w:val="16"/>
                <w:szCs w:val="16"/>
                <w:lang w:val="en-US"/>
              </w:rPr>
              <w:t>.</w:t>
            </w:r>
            <w:r w:rsidRPr="000D1F78">
              <w:rPr>
                <w:rFonts w:ascii="Arial" w:hAnsi="Arial" w:cs="Arial"/>
                <w:color w:val="000000"/>
                <w:sz w:val="16"/>
                <w:szCs w:val="16"/>
                <w:lang w:val="en-US"/>
              </w:rPr>
              <w:t>437</w:t>
            </w:r>
          </w:p>
        </w:tc>
        <w:tc>
          <w:tcPr>
            <w:tcW w:w="1296" w:type="dxa"/>
            <w:tcBorders>
              <w:bottom w:val="single" w:sz="4" w:space="0" w:color="auto"/>
            </w:tcBorders>
            <w:shd w:val="clear" w:color="auto" w:fill="auto"/>
            <w:vAlign w:val="bottom"/>
          </w:tcPr>
          <w:p w:rsidR="004947E8" w:rsidRPr="000D1F78" w:rsidRDefault="00AB3EAC"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F8433D" w:rsidRPr="000D1F78">
              <w:rPr>
                <w:rFonts w:ascii="Arial" w:hAnsi="Arial" w:cs="Arial"/>
                <w:color w:val="000000"/>
                <w:sz w:val="16"/>
                <w:szCs w:val="16"/>
                <w:lang w:val="en-US"/>
              </w:rPr>
              <w:instrText xml:space="preserve"> =b3-c3 \# "#,###.###;(#,###.###)" </w:instrText>
            </w:r>
            <w:r w:rsidRPr="000D1F78">
              <w:rPr>
                <w:rFonts w:ascii="Arial" w:hAnsi="Arial" w:cs="Arial"/>
                <w:color w:val="000000"/>
                <w:sz w:val="16"/>
                <w:szCs w:val="16"/>
                <w:lang w:val="en-US"/>
              </w:rPr>
              <w:fldChar w:fldCharType="separate"/>
            </w:r>
            <w:r w:rsidR="00F8433D" w:rsidRPr="000D1F78">
              <w:rPr>
                <w:rFonts w:ascii="Arial" w:hAnsi="Arial" w:cs="Arial"/>
                <w:noProof/>
                <w:color w:val="000000"/>
                <w:sz w:val="16"/>
                <w:szCs w:val="16"/>
                <w:lang w:val="en-US"/>
              </w:rPr>
              <w:t xml:space="preserve">  </w:t>
            </w:r>
            <w:r w:rsidR="00FA36F7" w:rsidRPr="000D1F78">
              <w:rPr>
                <w:rFonts w:ascii="Arial" w:hAnsi="Arial" w:cs="Arial"/>
                <w:noProof/>
                <w:color w:val="000000"/>
                <w:sz w:val="16"/>
                <w:szCs w:val="16"/>
                <w:lang w:val="en-US"/>
              </w:rPr>
              <w:t>(</w:t>
            </w:r>
            <w:r w:rsidR="00F8433D" w:rsidRPr="000D1F78">
              <w:rPr>
                <w:rFonts w:ascii="Arial" w:hAnsi="Arial" w:cs="Arial"/>
                <w:noProof/>
                <w:color w:val="000000"/>
                <w:sz w:val="16"/>
                <w:szCs w:val="16"/>
                <w:lang w:val="en-US"/>
              </w:rPr>
              <w:t>0.</w:t>
            </w:r>
            <w:r w:rsidR="00FA36F7" w:rsidRPr="000D1F78">
              <w:rPr>
                <w:rFonts w:ascii="Arial" w:hAnsi="Arial" w:cs="Arial"/>
                <w:noProof/>
                <w:color w:val="000000"/>
                <w:sz w:val="16"/>
                <w:szCs w:val="16"/>
                <w:lang w:val="en-US"/>
              </w:rPr>
              <w:t>240</w:t>
            </w:r>
            <w:r w:rsidRPr="000D1F78">
              <w:rPr>
                <w:rFonts w:ascii="Arial" w:hAnsi="Arial" w:cs="Arial"/>
                <w:color w:val="000000"/>
                <w:sz w:val="16"/>
                <w:szCs w:val="16"/>
                <w:lang w:val="en-US"/>
              </w:rPr>
              <w:fldChar w:fldCharType="end"/>
            </w:r>
            <w:r w:rsidR="00FA36F7" w:rsidRPr="000D1F78">
              <w:rPr>
                <w:rFonts w:ascii="Arial" w:hAnsi="Arial" w:cs="Arial"/>
                <w:color w:val="000000"/>
                <w:sz w:val="16"/>
                <w:szCs w:val="16"/>
                <w:lang w:val="en-US"/>
              </w:rPr>
              <w:t>)</w:t>
            </w:r>
          </w:p>
        </w:tc>
      </w:tr>
      <w:tr w:rsidR="004947E8" w:rsidRPr="000D1F78" w:rsidTr="00110CFD">
        <w:trPr>
          <w:trHeight w:val="189"/>
        </w:trPr>
        <w:tc>
          <w:tcPr>
            <w:tcW w:w="4680" w:type="dxa"/>
            <w:tcBorders>
              <w:top w:val="single" w:sz="4" w:space="0" w:color="auto"/>
              <w:bottom w:val="double" w:sz="4" w:space="0" w:color="auto"/>
            </w:tcBorders>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Net assets/equity</w:t>
            </w:r>
          </w:p>
        </w:tc>
        <w:tc>
          <w:tcPr>
            <w:tcW w:w="1440" w:type="dxa"/>
            <w:tcBorders>
              <w:top w:val="single" w:sz="4" w:space="0" w:color="auto"/>
              <w:bottom w:val="double" w:sz="4" w:space="0" w:color="auto"/>
            </w:tcBorders>
            <w:shd w:val="clear" w:color="auto" w:fill="auto"/>
            <w:vAlign w:val="bottom"/>
          </w:tcPr>
          <w:p w:rsidR="004947E8" w:rsidRPr="000D1F78" w:rsidRDefault="00AB3EAC"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C87772" w:rsidRPr="000D1F78">
              <w:rPr>
                <w:rFonts w:ascii="Arial" w:hAnsi="Arial" w:cs="Arial"/>
                <w:color w:val="000000"/>
                <w:sz w:val="16"/>
                <w:szCs w:val="16"/>
                <w:lang w:val="en-US"/>
              </w:rPr>
              <w:instrText xml:space="preserve"> =b2-b3 </w:instrText>
            </w:r>
            <w:r w:rsidRPr="000D1F78">
              <w:rPr>
                <w:rFonts w:ascii="Arial" w:hAnsi="Arial" w:cs="Arial"/>
                <w:color w:val="000000"/>
                <w:sz w:val="16"/>
                <w:szCs w:val="16"/>
                <w:lang w:val="en-US"/>
              </w:rPr>
              <w:fldChar w:fldCharType="separate"/>
            </w:r>
            <w:r w:rsidR="00C87772" w:rsidRPr="000D1F78">
              <w:rPr>
                <w:rFonts w:ascii="Arial" w:hAnsi="Arial" w:cs="Arial"/>
                <w:noProof/>
                <w:color w:val="000000"/>
                <w:sz w:val="16"/>
                <w:szCs w:val="16"/>
                <w:lang w:val="en-US"/>
              </w:rPr>
              <w:t>1,</w:t>
            </w:r>
            <w:r w:rsidR="00FA36F7" w:rsidRPr="000D1F78">
              <w:rPr>
                <w:rFonts w:ascii="Arial" w:hAnsi="Arial" w:cs="Arial"/>
                <w:noProof/>
                <w:color w:val="000000"/>
                <w:sz w:val="16"/>
                <w:szCs w:val="16"/>
                <w:lang w:val="en-US"/>
              </w:rPr>
              <w:t>492</w:t>
            </w:r>
            <w:r w:rsidR="00C87772" w:rsidRPr="000D1F78">
              <w:rPr>
                <w:rFonts w:ascii="Arial" w:hAnsi="Arial" w:cs="Arial"/>
                <w:noProof/>
                <w:color w:val="000000"/>
                <w:sz w:val="16"/>
                <w:szCs w:val="16"/>
                <w:lang w:val="en-US"/>
              </w:rPr>
              <w:t>.</w:t>
            </w:r>
            <w:r w:rsidR="00FA36F7" w:rsidRPr="000D1F78">
              <w:rPr>
                <w:rFonts w:ascii="Arial" w:hAnsi="Arial" w:cs="Arial"/>
                <w:noProof/>
                <w:color w:val="000000"/>
                <w:sz w:val="16"/>
                <w:szCs w:val="16"/>
                <w:lang w:val="en-US"/>
              </w:rPr>
              <w:t>237</w:t>
            </w:r>
            <w:r w:rsidRPr="000D1F78">
              <w:rPr>
                <w:rFonts w:ascii="Arial" w:hAnsi="Arial" w:cs="Arial"/>
                <w:color w:val="000000"/>
                <w:sz w:val="16"/>
                <w:szCs w:val="16"/>
                <w:lang w:val="en-US"/>
              </w:rPr>
              <w:fldChar w:fldCharType="end"/>
            </w:r>
          </w:p>
        </w:tc>
        <w:tc>
          <w:tcPr>
            <w:tcW w:w="1251" w:type="dxa"/>
            <w:tcBorders>
              <w:top w:val="single" w:sz="4" w:space="0" w:color="auto"/>
              <w:bottom w:val="double" w:sz="4" w:space="0" w:color="auto"/>
            </w:tcBorders>
            <w:shd w:val="clear" w:color="auto" w:fill="auto"/>
            <w:vAlign w:val="bottom"/>
          </w:tcPr>
          <w:p w:rsidR="004947E8" w:rsidRPr="000D1F78" w:rsidRDefault="00AB3EAC"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067A91" w:rsidRPr="000D1F78">
              <w:rPr>
                <w:rFonts w:ascii="Arial" w:hAnsi="Arial" w:cs="Arial"/>
                <w:color w:val="000000"/>
                <w:sz w:val="16"/>
                <w:szCs w:val="16"/>
                <w:lang w:val="en-US"/>
              </w:rPr>
              <w:instrText xml:space="preserve"> =c2-c3 </w:instrText>
            </w:r>
            <w:r w:rsidRPr="000D1F78">
              <w:rPr>
                <w:rFonts w:ascii="Arial" w:hAnsi="Arial" w:cs="Arial"/>
                <w:color w:val="000000"/>
                <w:sz w:val="16"/>
                <w:szCs w:val="16"/>
                <w:lang w:val="en-US"/>
              </w:rPr>
              <w:fldChar w:fldCharType="separate"/>
            </w:r>
            <w:r w:rsidR="00067A91" w:rsidRPr="000D1F78">
              <w:rPr>
                <w:rFonts w:ascii="Arial" w:hAnsi="Arial" w:cs="Arial"/>
                <w:noProof/>
                <w:color w:val="000000"/>
                <w:sz w:val="16"/>
                <w:szCs w:val="16"/>
                <w:lang w:val="en-US"/>
              </w:rPr>
              <w:t>1,</w:t>
            </w:r>
            <w:r w:rsidR="000C08A2" w:rsidRPr="000D1F78">
              <w:rPr>
                <w:rFonts w:ascii="Arial" w:hAnsi="Arial" w:cs="Arial"/>
                <w:noProof/>
                <w:color w:val="000000"/>
                <w:sz w:val="16"/>
                <w:szCs w:val="16"/>
                <w:lang w:val="en-US"/>
              </w:rPr>
              <w:t>468</w:t>
            </w:r>
            <w:r w:rsidR="00067A91" w:rsidRPr="000D1F78">
              <w:rPr>
                <w:rFonts w:ascii="Arial" w:hAnsi="Arial" w:cs="Arial"/>
                <w:noProof/>
                <w:color w:val="000000"/>
                <w:sz w:val="16"/>
                <w:szCs w:val="16"/>
                <w:lang w:val="en-US"/>
              </w:rPr>
              <w:t>.</w:t>
            </w:r>
            <w:r w:rsidR="000C08A2" w:rsidRPr="000D1F78">
              <w:rPr>
                <w:rFonts w:ascii="Arial" w:hAnsi="Arial" w:cs="Arial"/>
                <w:noProof/>
                <w:color w:val="000000"/>
                <w:sz w:val="16"/>
                <w:szCs w:val="16"/>
                <w:lang w:val="en-US"/>
              </w:rPr>
              <w:t>401</w:t>
            </w:r>
            <w:r w:rsidRPr="000D1F78">
              <w:rPr>
                <w:rFonts w:ascii="Arial" w:hAnsi="Arial" w:cs="Arial"/>
                <w:color w:val="000000"/>
                <w:sz w:val="16"/>
                <w:szCs w:val="16"/>
                <w:lang w:val="en-US"/>
              </w:rPr>
              <w:fldChar w:fldCharType="end"/>
            </w:r>
          </w:p>
        </w:tc>
        <w:tc>
          <w:tcPr>
            <w:tcW w:w="1296" w:type="dxa"/>
            <w:tcBorders>
              <w:top w:val="single" w:sz="4" w:space="0" w:color="auto"/>
              <w:bottom w:val="double" w:sz="4" w:space="0" w:color="auto"/>
            </w:tcBorders>
            <w:shd w:val="clear" w:color="auto" w:fill="auto"/>
            <w:vAlign w:val="bottom"/>
          </w:tcPr>
          <w:p w:rsidR="004947E8" w:rsidRPr="000D1F78" w:rsidRDefault="000C08A2"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t>23.836</w:t>
            </w:r>
          </w:p>
        </w:tc>
      </w:tr>
    </w:tbl>
    <w:p w:rsidR="004947E8" w:rsidRPr="00110CFD" w:rsidRDefault="004947E8" w:rsidP="005C0558">
      <w:pPr>
        <w:pStyle w:val="NoSpacing"/>
        <w:jc w:val="both"/>
        <w:rPr>
          <w:rFonts w:ascii="Arial" w:hAnsi="Arial" w:cs="Arial"/>
          <w:sz w:val="16"/>
          <w:szCs w:val="16"/>
        </w:rPr>
      </w:pPr>
    </w:p>
    <w:p w:rsidR="004947E8" w:rsidRPr="00A1086B" w:rsidRDefault="004947E8" w:rsidP="00110CFD">
      <w:pPr>
        <w:pStyle w:val="NoSpacing"/>
        <w:tabs>
          <w:tab w:val="left" w:pos="360"/>
        </w:tabs>
        <w:jc w:val="both"/>
        <w:rPr>
          <w:rFonts w:ascii="Arial" w:hAnsi="Arial" w:cs="Arial"/>
          <w:b/>
          <w:sz w:val="20"/>
          <w:szCs w:val="20"/>
        </w:rPr>
      </w:pPr>
      <w:r w:rsidRPr="00A1086B">
        <w:rPr>
          <w:rFonts w:ascii="Arial" w:hAnsi="Arial" w:cs="Arial"/>
          <w:b/>
          <w:sz w:val="20"/>
          <w:szCs w:val="20"/>
        </w:rPr>
        <w:t>II.</w:t>
      </w:r>
      <w:r w:rsidRPr="00A1086B">
        <w:rPr>
          <w:rFonts w:ascii="Arial" w:hAnsi="Arial" w:cs="Arial"/>
          <w:b/>
          <w:sz w:val="20"/>
          <w:szCs w:val="20"/>
        </w:rPr>
        <w:tab/>
        <w:t>Comparative Financial Performance</w:t>
      </w:r>
    </w:p>
    <w:p w:rsidR="00650CE4" w:rsidRPr="00A7575A" w:rsidRDefault="00650CE4" w:rsidP="005C0558">
      <w:pPr>
        <w:pStyle w:val="NoSpacing"/>
        <w:jc w:val="both"/>
        <w:rPr>
          <w:rFonts w:ascii="Arial" w:hAnsi="Arial" w:cs="Arial"/>
          <w:sz w:val="18"/>
          <w:szCs w:val="18"/>
        </w:rPr>
      </w:pPr>
    </w:p>
    <w:tbl>
      <w:tblPr>
        <w:tblW w:w="8667" w:type="dxa"/>
        <w:tblInd w:w="108" w:type="dxa"/>
        <w:tblLook w:val="04A0" w:firstRow="1" w:lastRow="0" w:firstColumn="1" w:lastColumn="0" w:noHBand="0" w:noVBand="1"/>
      </w:tblPr>
      <w:tblGrid>
        <w:gridCol w:w="4680"/>
        <w:gridCol w:w="1440"/>
        <w:gridCol w:w="1251"/>
        <w:gridCol w:w="1296"/>
      </w:tblGrid>
      <w:tr w:rsidR="004947E8" w:rsidRPr="000D1F78" w:rsidTr="00110CFD">
        <w:tc>
          <w:tcPr>
            <w:tcW w:w="4680" w:type="dxa"/>
            <w:tcBorders>
              <w:top w:val="single" w:sz="4" w:space="0" w:color="auto"/>
              <w:bottom w:val="single" w:sz="4" w:space="0" w:color="auto"/>
            </w:tcBorders>
            <w:shd w:val="clear" w:color="auto" w:fill="auto"/>
          </w:tcPr>
          <w:p w:rsidR="004947E8" w:rsidRPr="000D1F78" w:rsidRDefault="004947E8" w:rsidP="000D1F78">
            <w:pPr>
              <w:pStyle w:val="NoSpacing"/>
              <w:ind w:left="-109"/>
              <w:jc w:val="both"/>
              <w:rPr>
                <w:rFonts w:ascii="Arial" w:hAnsi="Arial" w:cs="Arial"/>
                <w:b/>
                <w:color w:val="000000"/>
                <w:sz w:val="16"/>
                <w:szCs w:val="16"/>
                <w:lang w:val="en-US"/>
              </w:rPr>
            </w:pPr>
          </w:p>
        </w:tc>
        <w:tc>
          <w:tcPr>
            <w:tcW w:w="1440" w:type="dxa"/>
            <w:tcBorders>
              <w:top w:val="single" w:sz="4" w:space="0" w:color="auto"/>
              <w:bottom w:val="single" w:sz="4" w:space="0" w:color="auto"/>
            </w:tcBorders>
            <w:shd w:val="clear" w:color="auto" w:fill="auto"/>
            <w:vAlign w:val="bottom"/>
          </w:tcPr>
          <w:p w:rsidR="004947E8" w:rsidRPr="000D1F78" w:rsidRDefault="004947E8" w:rsidP="000D1F78">
            <w:pPr>
              <w:pStyle w:val="NoSpacing"/>
              <w:jc w:val="right"/>
              <w:rPr>
                <w:rFonts w:ascii="Arial" w:hAnsi="Arial" w:cs="Arial"/>
                <w:b/>
                <w:color w:val="000000"/>
                <w:sz w:val="16"/>
                <w:szCs w:val="16"/>
                <w:lang w:val="en-US"/>
              </w:rPr>
            </w:pPr>
            <w:r w:rsidRPr="000D1F78">
              <w:rPr>
                <w:rFonts w:ascii="Arial" w:hAnsi="Arial" w:cs="Arial"/>
                <w:b/>
                <w:color w:val="000000"/>
                <w:sz w:val="16"/>
                <w:szCs w:val="16"/>
                <w:lang w:val="en-US"/>
              </w:rPr>
              <w:t>201</w:t>
            </w:r>
            <w:r w:rsidR="00F95494" w:rsidRPr="000D1F78">
              <w:rPr>
                <w:rFonts w:ascii="Arial" w:hAnsi="Arial" w:cs="Arial"/>
                <w:b/>
                <w:color w:val="000000"/>
                <w:sz w:val="16"/>
                <w:szCs w:val="16"/>
                <w:lang w:val="en-US"/>
              </w:rPr>
              <w:t>9</w:t>
            </w:r>
          </w:p>
        </w:tc>
        <w:tc>
          <w:tcPr>
            <w:tcW w:w="1251" w:type="dxa"/>
            <w:tcBorders>
              <w:top w:val="single" w:sz="4" w:space="0" w:color="auto"/>
              <w:bottom w:val="single" w:sz="4" w:space="0" w:color="auto"/>
            </w:tcBorders>
            <w:shd w:val="clear" w:color="auto" w:fill="auto"/>
            <w:vAlign w:val="bottom"/>
          </w:tcPr>
          <w:p w:rsidR="004947E8" w:rsidRPr="000D1F78" w:rsidRDefault="004947E8" w:rsidP="000D1F78">
            <w:pPr>
              <w:pStyle w:val="NoSpacing"/>
              <w:jc w:val="right"/>
              <w:rPr>
                <w:rFonts w:ascii="Arial" w:hAnsi="Arial" w:cs="Arial"/>
                <w:b/>
                <w:color w:val="000000"/>
                <w:sz w:val="16"/>
                <w:szCs w:val="16"/>
                <w:lang w:val="en-US"/>
              </w:rPr>
            </w:pPr>
            <w:r w:rsidRPr="000D1F78">
              <w:rPr>
                <w:rFonts w:ascii="Arial" w:hAnsi="Arial" w:cs="Arial"/>
                <w:b/>
                <w:color w:val="000000"/>
                <w:sz w:val="16"/>
                <w:szCs w:val="16"/>
                <w:lang w:val="en-US"/>
              </w:rPr>
              <w:t>201</w:t>
            </w:r>
            <w:r w:rsidR="00F95494" w:rsidRPr="000D1F78">
              <w:rPr>
                <w:rFonts w:ascii="Arial" w:hAnsi="Arial" w:cs="Arial"/>
                <w:b/>
                <w:color w:val="000000"/>
                <w:sz w:val="16"/>
                <w:szCs w:val="16"/>
                <w:lang w:val="en-US"/>
              </w:rPr>
              <w:t>8</w:t>
            </w:r>
          </w:p>
        </w:tc>
        <w:tc>
          <w:tcPr>
            <w:tcW w:w="1296" w:type="dxa"/>
            <w:tcBorders>
              <w:top w:val="single" w:sz="4" w:space="0" w:color="auto"/>
              <w:bottom w:val="single" w:sz="4" w:space="0" w:color="auto"/>
            </w:tcBorders>
            <w:shd w:val="clear" w:color="auto" w:fill="auto"/>
            <w:vAlign w:val="bottom"/>
          </w:tcPr>
          <w:p w:rsidR="004947E8" w:rsidRPr="000D1F78" w:rsidRDefault="004947E8" w:rsidP="000D1F78">
            <w:pPr>
              <w:pStyle w:val="NoSpacing"/>
              <w:ind w:right="-76"/>
              <w:jc w:val="right"/>
              <w:rPr>
                <w:rFonts w:ascii="Arial" w:hAnsi="Arial" w:cs="Arial"/>
                <w:b/>
                <w:color w:val="000000"/>
                <w:sz w:val="16"/>
                <w:szCs w:val="16"/>
                <w:lang w:val="en-US"/>
              </w:rPr>
            </w:pPr>
            <w:r w:rsidRPr="000D1F78">
              <w:rPr>
                <w:rFonts w:ascii="Arial" w:hAnsi="Arial" w:cs="Arial"/>
                <w:b/>
                <w:color w:val="000000"/>
                <w:sz w:val="16"/>
                <w:szCs w:val="16"/>
                <w:lang w:val="en-US"/>
              </w:rPr>
              <w:t>Increase</w:t>
            </w:r>
          </w:p>
          <w:p w:rsidR="004947E8" w:rsidRPr="000D1F78" w:rsidRDefault="004947E8" w:rsidP="000D1F78">
            <w:pPr>
              <w:pStyle w:val="NoSpacing"/>
              <w:ind w:right="-76"/>
              <w:jc w:val="right"/>
              <w:rPr>
                <w:rFonts w:ascii="Arial" w:hAnsi="Arial" w:cs="Arial"/>
                <w:b/>
                <w:color w:val="000000"/>
                <w:sz w:val="16"/>
                <w:szCs w:val="16"/>
                <w:lang w:val="en-US"/>
              </w:rPr>
            </w:pPr>
            <w:r w:rsidRPr="000D1F78">
              <w:rPr>
                <w:rFonts w:ascii="Arial" w:hAnsi="Arial" w:cs="Arial"/>
                <w:b/>
                <w:color w:val="000000"/>
                <w:sz w:val="16"/>
                <w:szCs w:val="16"/>
                <w:lang w:val="en-US"/>
              </w:rPr>
              <w:t>(Decrease)</w:t>
            </w:r>
          </w:p>
        </w:tc>
      </w:tr>
      <w:tr w:rsidR="004947E8" w:rsidRPr="000D1F78" w:rsidTr="00110CFD">
        <w:tc>
          <w:tcPr>
            <w:tcW w:w="4680" w:type="dxa"/>
            <w:tcBorders>
              <w:top w:val="single" w:sz="4" w:space="0" w:color="auto"/>
            </w:tcBorders>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Total revenues</w:t>
            </w:r>
          </w:p>
        </w:tc>
        <w:tc>
          <w:tcPr>
            <w:tcW w:w="1440" w:type="dxa"/>
            <w:tcBorders>
              <w:top w:val="single" w:sz="4" w:space="0" w:color="auto"/>
            </w:tcBorders>
            <w:shd w:val="clear" w:color="auto" w:fill="auto"/>
            <w:vAlign w:val="bottom"/>
          </w:tcPr>
          <w:p w:rsidR="004947E8" w:rsidRPr="000D1F78" w:rsidRDefault="00C8777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1</w:t>
            </w:r>
            <w:r w:rsidR="000C08A2" w:rsidRPr="000D1F78">
              <w:rPr>
                <w:rFonts w:ascii="Arial" w:hAnsi="Arial" w:cs="Arial"/>
                <w:color w:val="000000"/>
                <w:sz w:val="16"/>
                <w:szCs w:val="16"/>
                <w:lang w:val="en-US"/>
              </w:rPr>
              <w:t>30</w:t>
            </w:r>
            <w:r w:rsidRPr="000D1F78">
              <w:rPr>
                <w:rFonts w:ascii="Arial" w:hAnsi="Arial" w:cs="Arial"/>
                <w:color w:val="000000"/>
                <w:sz w:val="16"/>
                <w:szCs w:val="16"/>
                <w:lang w:val="en-US"/>
              </w:rPr>
              <w:t>.</w:t>
            </w:r>
            <w:r w:rsidR="000C08A2" w:rsidRPr="000D1F78">
              <w:rPr>
                <w:rFonts w:ascii="Arial" w:hAnsi="Arial" w:cs="Arial"/>
                <w:color w:val="000000"/>
                <w:sz w:val="16"/>
                <w:szCs w:val="16"/>
                <w:lang w:val="en-US"/>
              </w:rPr>
              <w:t>7</w:t>
            </w:r>
            <w:r w:rsidRPr="000D1F78">
              <w:rPr>
                <w:rFonts w:ascii="Arial" w:hAnsi="Arial" w:cs="Arial"/>
                <w:color w:val="000000"/>
                <w:sz w:val="16"/>
                <w:szCs w:val="16"/>
                <w:lang w:val="en-US"/>
              </w:rPr>
              <w:t>9</w:t>
            </w:r>
            <w:r w:rsidR="00792A5F" w:rsidRPr="000D1F78">
              <w:rPr>
                <w:rFonts w:ascii="Arial" w:hAnsi="Arial" w:cs="Arial"/>
                <w:color w:val="000000"/>
                <w:sz w:val="16"/>
                <w:szCs w:val="16"/>
                <w:lang w:val="en-US"/>
              </w:rPr>
              <w:t>6</w:t>
            </w:r>
          </w:p>
        </w:tc>
        <w:tc>
          <w:tcPr>
            <w:tcW w:w="1251" w:type="dxa"/>
            <w:tcBorders>
              <w:top w:val="single" w:sz="4" w:space="0" w:color="auto"/>
            </w:tcBorders>
            <w:shd w:val="clear" w:color="auto" w:fill="auto"/>
            <w:vAlign w:val="bottom"/>
          </w:tcPr>
          <w:p w:rsidR="004947E8" w:rsidRPr="000D1F78" w:rsidRDefault="00C8777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1</w:t>
            </w:r>
            <w:r w:rsidR="000C08A2" w:rsidRPr="000D1F78">
              <w:rPr>
                <w:rFonts w:ascii="Arial" w:hAnsi="Arial" w:cs="Arial"/>
                <w:color w:val="000000"/>
                <w:sz w:val="16"/>
                <w:szCs w:val="16"/>
                <w:lang w:val="en-US"/>
              </w:rPr>
              <w:t>61</w:t>
            </w:r>
            <w:r w:rsidRPr="000D1F78">
              <w:rPr>
                <w:rFonts w:ascii="Arial" w:hAnsi="Arial" w:cs="Arial"/>
                <w:color w:val="000000"/>
                <w:sz w:val="16"/>
                <w:szCs w:val="16"/>
                <w:lang w:val="en-US"/>
              </w:rPr>
              <w:t>.</w:t>
            </w:r>
            <w:r w:rsidR="000C08A2" w:rsidRPr="000D1F78">
              <w:rPr>
                <w:rFonts w:ascii="Arial" w:hAnsi="Arial" w:cs="Arial"/>
                <w:color w:val="000000"/>
                <w:sz w:val="16"/>
                <w:szCs w:val="16"/>
                <w:lang w:val="en-US"/>
              </w:rPr>
              <w:t>885</w:t>
            </w:r>
          </w:p>
        </w:tc>
        <w:tc>
          <w:tcPr>
            <w:tcW w:w="1296" w:type="dxa"/>
            <w:tcBorders>
              <w:top w:val="single" w:sz="4" w:space="0" w:color="auto"/>
            </w:tcBorders>
            <w:shd w:val="clear" w:color="auto" w:fill="auto"/>
            <w:vAlign w:val="bottom"/>
          </w:tcPr>
          <w:p w:rsidR="004947E8" w:rsidRPr="000D1F78" w:rsidRDefault="000C08A2"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t>(31.08</w:t>
            </w:r>
            <w:r w:rsidR="00792A5F" w:rsidRPr="000D1F78">
              <w:rPr>
                <w:rFonts w:ascii="Arial" w:hAnsi="Arial" w:cs="Arial"/>
                <w:color w:val="000000"/>
                <w:sz w:val="16"/>
                <w:szCs w:val="16"/>
                <w:lang w:val="en-US"/>
              </w:rPr>
              <w:t>9</w:t>
            </w:r>
            <w:r w:rsidRPr="000D1F78">
              <w:rPr>
                <w:rFonts w:ascii="Arial" w:hAnsi="Arial" w:cs="Arial"/>
                <w:color w:val="000000"/>
                <w:sz w:val="16"/>
                <w:szCs w:val="16"/>
                <w:lang w:val="en-US"/>
              </w:rPr>
              <w:t>)</w:t>
            </w:r>
          </w:p>
        </w:tc>
      </w:tr>
      <w:tr w:rsidR="004947E8" w:rsidRPr="000D1F78" w:rsidTr="00110CFD">
        <w:tc>
          <w:tcPr>
            <w:tcW w:w="4680" w:type="dxa"/>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Total operating expenses</w:t>
            </w:r>
          </w:p>
        </w:tc>
        <w:tc>
          <w:tcPr>
            <w:tcW w:w="1440" w:type="dxa"/>
            <w:shd w:val="clear" w:color="auto" w:fill="auto"/>
            <w:vAlign w:val="bottom"/>
          </w:tcPr>
          <w:p w:rsidR="004947E8" w:rsidRPr="000D1F78" w:rsidRDefault="000C08A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537</w:t>
            </w:r>
            <w:r w:rsidR="00C87772" w:rsidRPr="000D1F78">
              <w:rPr>
                <w:rFonts w:ascii="Arial" w:hAnsi="Arial" w:cs="Arial"/>
                <w:color w:val="000000"/>
                <w:sz w:val="16"/>
                <w:szCs w:val="16"/>
                <w:lang w:val="en-US"/>
              </w:rPr>
              <w:t>.</w:t>
            </w:r>
            <w:r w:rsidRPr="000D1F78">
              <w:rPr>
                <w:rFonts w:ascii="Arial" w:hAnsi="Arial" w:cs="Arial"/>
                <w:color w:val="000000"/>
                <w:sz w:val="16"/>
                <w:szCs w:val="16"/>
                <w:lang w:val="en-US"/>
              </w:rPr>
              <w:t>673</w:t>
            </w:r>
          </w:p>
        </w:tc>
        <w:tc>
          <w:tcPr>
            <w:tcW w:w="1251" w:type="dxa"/>
            <w:shd w:val="clear" w:color="auto" w:fill="auto"/>
            <w:vAlign w:val="bottom"/>
          </w:tcPr>
          <w:p w:rsidR="004947E8" w:rsidRPr="000D1F78" w:rsidRDefault="000C08A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575</w:t>
            </w:r>
            <w:r w:rsidR="00C87772" w:rsidRPr="000D1F78">
              <w:rPr>
                <w:rFonts w:ascii="Arial" w:hAnsi="Arial" w:cs="Arial"/>
                <w:color w:val="000000"/>
                <w:sz w:val="16"/>
                <w:szCs w:val="16"/>
                <w:lang w:val="en-US"/>
              </w:rPr>
              <w:t>.</w:t>
            </w:r>
            <w:r w:rsidRPr="000D1F78">
              <w:rPr>
                <w:rFonts w:ascii="Arial" w:hAnsi="Arial" w:cs="Arial"/>
                <w:color w:val="000000"/>
                <w:sz w:val="16"/>
                <w:szCs w:val="16"/>
                <w:lang w:val="en-US"/>
              </w:rPr>
              <w:t>0</w:t>
            </w:r>
            <w:r w:rsidR="00C87772" w:rsidRPr="000D1F78">
              <w:rPr>
                <w:rFonts w:ascii="Arial" w:hAnsi="Arial" w:cs="Arial"/>
                <w:color w:val="000000"/>
                <w:sz w:val="16"/>
                <w:szCs w:val="16"/>
                <w:lang w:val="en-US"/>
              </w:rPr>
              <w:t>9</w:t>
            </w:r>
            <w:r w:rsidRPr="000D1F78">
              <w:rPr>
                <w:rFonts w:ascii="Arial" w:hAnsi="Arial" w:cs="Arial"/>
                <w:color w:val="000000"/>
                <w:sz w:val="16"/>
                <w:szCs w:val="16"/>
                <w:lang w:val="en-US"/>
              </w:rPr>
              <w:t>3</w:t>
            </w:r>
          </w:p>
        </w:tc>
        <w:tc>
          <w:tcPr>
            <w:tcW w:w="1296" w:type="dxa"/>
            <w:shd w:val="clear" w:color="auto" w:fill="auto"/>
            <w:vAlign w:val="bottom"/>
          </w:tcPr>
          <w:p w:rsidR="004947E8" w:rsidRPr="000D1F78" w:rsidRDefault="000C08A2"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t>(37.42</w:t>
            </w:r>
            <w:r w:rsidR="004646A0">
              <w:rPr>
                <w:rFonts w:ascii="Arial" w:hAnsi="Arial" w:cs="Arial"/>
                <w:color w:val="000000"/>
                <w:sz w:val="16"/>
                <w:szCs w:val="16"/>
                <w:lang w:val="en-US"/>
              </w:rPr>
              <w:t>0</w:t>
            </w:r>
            <w:r w:rsidRPr="000D1F78">
              <w:rPr>
                <w:rFonts w:ascii="Arial" w:hAnsi="Arial" w:cs="Arial"/>
                <w:color w:val="000000"/>
                <w:sz w:val="16"/>
                <w:szCs w:val="16"/>
                <w:lang w:val="en-US"/>
              </w:rPr>
              <w:t>)</w:t>
            </w:r>
          </w:p>
        </w:tc>
      </w:tr>
      <w:tr w:rsidR="004947E8" w:rsidRPr="000D1F78" w:rsidTr="00110CFD">
        <w:tc>
          <w:tcPr>
            <w:tcW w:w="4680" w:type="dxa"/>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Deficit from current operations</w:t>
            </w:r>
          </w:p>
        </w:tc>
        <w:tc>
          <w:tcPr>
            <w:tcW w:w="1440" w:type="dxa"/>
            <w:shd w:val="clear" w:color="auto" w:fill="auto"/>
            <w:vAlign w:val="bottom"/>
          </w:tcPr>
          <w:p w:rsidR="004947E8" w:rsidRPr="000D1F78" w:rsidRDefault="00AB3EAC"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C87772" w:rsidRPr="000D1F78">
              <w:rPr>
                <w:rFonts w:ascii="Arial" w:hAnsi="Arial" w:cs="Arial"/>
                <w:color w:val="000000"/>
                <w:sz w:val="16"/>
                <w:szCs w:val="16"/>
                <w:lang w:val="en-US"/>
              </w:rPr>
              <w:instrText xml:space="preserve"> =b2-b3 \# "##0;(##0.000)" </w:instrText>
            </w:r>
            <w:r w:rsidRPr="000D1F78">
              <w:rPr>
                <w:rFonts w:ascii="Arial" w:hAnsi="Arial" w:cs="Arial"/>
                <w:color w:val="000000"/>
                <w:sz w:val="16"/>
                <w:szCs w:val="16"/>
                <w:lang w:val="en-US"/>
              </w:rPr>
              <w:fldChar w:fldCharType="separate"/>
            </w:r>
            <w:r w:rsidR="00C87772" w:rsidRPr="000D1F78">
              <w:rPr>
                <w:rFonts w:ascii="Arial" w:hAnsi="Arial" w:cs="Arial"/>
                <w:noProof/>
                <w:color w:val="000000"/>
                <w:sz w:val="16"/>
                <w:szCs w:val="16"/>
                <w:lang w:val="en-US"/>
              </w:rPr>
              <w:t>(</w:t>
            </w:r>
            <w:r w:rsidR="000C08A2" w:rsidRPr="000D1F78">
              <w:rPr>
                <w:rFonts w:ascii="Arial" w:hAnsi="Arial" w:cs="Arial"/>
                <w:noProof/>
                <w:color w:val="000000"/>
                <w:sz w:val="16"/>
                <w:szCs w:val="16"/>
                <w:lang w:val="en-US"/>
              </w:rPr>
              <w:t>406</w:t>
            </w:r>
            <w:r w:rsidR="00C87772" w:rsidRPr="000D1F78">
              <w:rPr>
                <w:rFonts w:ascii="Arial" w:hAnsi="Arial" w:cs="Arial"/>
                <w:noProof/>
                <w:color w:val="000000"/>
                <w:sz w:val="16"/>
                <w:szCs w:val="16"/>
                <w:lang w:val="en-US"/>
              </w:rPr>
              <w:t>.</w:t>
            </w:r>
            <w:r w:rsidR="000C08A2" w:rsidRPr="000D1F78">
              <w:rPr>
                <w:rFonts w:ascii="Arial" w:hAnsi="Arial" w:cs="Arial"/>
                <w:noProof/>
                <w:color w:val="000000"/>
                <w:sz w:val="16"/>
                <w:szCs w:val="16"/>
                <w:lang w:val="en-US"/>
              </w:rPr>
              <w:t>87</w:t>
            </w:r>
            <w:r w:rsidR="00792A5F" w:rsidRPr="000D1F78">
              <w:rPr>
                <w:rFonts w:ascii="Arial" w:hAnsi="Arial" w:cs="Arial"/>
                <w:noProof/>
                <w:color w:val="000000"/>
                <w:sz w:val="16"/>
                <w:szCs w:val="16"/>
                <w:lang w:val="en-US"/>
              </w:rPr>
              <w:t>7</w:t>
            </w:r>
            <w:r w:rsidR="00C87772" w:rsidRPr="000D1F78">
              <w:rPr>
                <w:rFonts w:ascii="Arial" w:hAnsi="Arial" w:cs="Arial"/>
                <w:noProof/>
                <w:color w:val="000000"/>
                <w:sz w:val="16"/>
                <w:szCs w:val="16"/>
                <w:lang w:val="en-US"/>
              </w:rPr>
              <w:t>)</w:t>
            </w:r>
            <w:r w:rsidRPr="000D1F78">
              <w:rPr>
                <w:rFonts w:ascii="Arial" w:hAnsi="Arial" w:cs="Arial"/>
                <w:color w:val="000000"/>
                <w:sz w:val="16"/>
                <w:szCs w:val="16"/>
                <w:lang w:val="en-US"/>
              </w:rPr>
              <w:fldChar w:fldCharType="end"/>
            </w:r>
          </w:p>
        </w:tc>
        <w:tc>
          <w:tcPr>
            <w:tcW w:w="1251" w:type="dxa"/>
            <w:shd w:val="clear" w:color="auto" w:fill="auto"/>
            <w:vAlign w:val="bottom"/>
          </w:tcPr>
          <w:p w:rsidR="004947E8" w:rsidRPr="000D1F78" w:rsidRDefault="00AB3EAC"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C87772" w:rsidRPr="000D1F78">
              <w:rPr>
                <w:rFonts w:ascii="Arial" w:hAnsi="Arial" w:cs="Arial"/>
                <w:color w:val="000000"/>
                <w:sz w:val="16"/>
                <w:szCs w:val="16"/>
                <w:lang w:val="en-US"/>
              </w:rPr>
              <w:instrText xml:space="preserve"> =c2-c3 \# "##0.000;(##0.000)" </w:instrText>
            </w:r>
            <w:r w:rsidRPr="000D1F78">
              <w:rPr>
                <w:rFonts w:ascii="Arial" w:hAnsi="Arial" w:cs="Arial"/>
                <w:color w:val="000000"/>
                <w:sz w:val="16"/>
                <w:szCs w:val="16"/>
                <w:lang w:val="en-US"/>
              </w:rPr>
              <w:fldChar w:fldCharType="separate"/>
            </w:r>
            <w:r w:rsidR="00C87772" w:rsidRPr="000D1F78">
              <w:rPr>
                <w:rFonts w:ascii="Arial" w:hAnsi="Arial" w:cs="Arial"/>
                <w:noProof/>
                <w:color w:val="000000"/>
                <w:sz w:val="16"/>
                <w:szCs w:val="16"/>
                <w:lang w:val="en-US"/>
              </w:rPr>
              <w:t>(</w:t>
            </w:r>
            <w:r w:rsidR="000C08A2" w:rsidRPr="000D1F78">
              <w:rPr>
                <w:rFonts w:ascii="Arial" w:hAnsi="Arial" w:cs="Arial"/>
                <w:noProof/>
                <w:color w:val="000000"/>
                <w:sz w:val="16"/>
                <w:szCs w:val="16"/>
                <w:lang w:val="en-US"/>
              </w:rPr>
              <w:t>413</w:t>
            </w:r>
            <w:r w:rsidR="00C87772" w:rsidRPr="000D1F78">
              <w:rPr>
                <w:rFonts w:ascii="Arial" w:hAnsi="Arial" w:cs="Arial"/>
                <w:noProof/>
                <w:color w:val="000000"/>
                <w:sz w:val="16"/>
                <w:szCs w:val="16"/>
                <w:lang w:val="en-US"/>
              </w:rPr>
              <w:t>.</w:t>
            </w:r>
            <w:r w:rsidR="000C08A2" w:rsidRPr="000D1F78">
              <w:rPr>
                <w:rFonts w:ascii="Arial" w:hAnsi="Arial" w:cs="Arial"/>
                <w:noProof/>
                <w:color w:val="000000"/>
                <w:sz w:val="16"/>
                <w:szCs w:val="16"/>
                <w:lang w:val="en-US"/>
              </w:rPr>
              <w:t>208</w:t>
            </w:r>
            <w:r w:rsidR="00C87772" w:rsidRPr="000D1F78">
              <w:rPr>
                <w:rFonts w:ascii="Arial" w:hAnsi="Arial" w:cs="Arial"/>
                <w:noProof/>
                <w:color w:val="000000"/>
                <w:sz w:val="16"/>
                <w:szCs w:val="16"/>
                <w:lang w:val="en-US"/>
              </w:rPr>
              <w:t>)</w:t>
            </w:r>
            <w:r w:rsidRPr="000D1F78">
              <w:rPr>
                <w:rFonts w:ascii="Arial" w:hAnsi="Arial" w:cs="Arial"/>
                <w:color w:val="000000"/>
                <w:sz w:val="16"/>
                <w:szCs w:val="16"/>
                <w:lang w:val="en-US"/>
              </w:rPr>
              <w:fldChar w:fldCharType="end"/>
            </w:r>
          </w:p>
        </w:tc>
        <w:tc>
          <w:tcPr>
            <w:tcW w:w="1296" w:type="dxa"/>
            <w:shd w:val="clear" w:color="auto" w:fill="auto"/>
            <w:vAlign w:val="bottom"/>
          </w:tcPr>
          <w:p w:rsidR="004947E8" w:rsidRPr="000D1F78" w:rsidRDefault="00AB3EAC"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B573D6" w:rsidRPr="000D1F78">
              <w:rPr>
                <w:rFonts w:ascii="Arial" w:hAnsi="Arial" w:cs="Arial"/>
                <w:color w:val="000000"/>
                <w:sz w:val="16"/>
                <w:szCs w:val="16"/>
                <w:lang w:val="en-US"/>
              </w:rPr>
              <w:instrText xml:space="preserve"> =b4-c4 </w:instrText>
            </w:r>
            <w:r w:rsidRPr="000D1F78">
              <w:rPr>
                <w:rFonts w:ascii="Arial" w:hAnsi="Arial" w:cs="Arial"/>
                <w:color w:val="000000"/>
                <w:sz w:val="16"/>
                <w:szCs w:val="16"/>
                <w:lang w:val="en-US"/>
              </w:rPr>
              <w:fldChar w:fldCharType="separate"/>
            </w:r>
            <w:r w:rsidR="00D02A08" w:rsidRPr="000D1F78">
              <w:rPr>
                <w:rFonts w:ascii="Arial" w:hAnsi="Arial" w:cs="Arial"/>
                <w:noProof/>
                <w:color w:val="000000"/>
                <w:sz w:val="16"/>
                <w:szCs w:val="16"/>
                <w:lang w:val="en-US"/>
              </w:rPr>
              <w:t>6.33</w:t>
            </w:r>
            <w:r w:rsidRPr="000D1F78">
              <w:rPr>
                <w:rFonts w:ascii="Arial" w:hAnsi="Arial" w:cs="Arial"/>
                <w:color w:val="000000"/>
                <w:sz w:val="16"/>
                <w:szCs w:val="16"/>
                <w:lang w:val="en-US"/>
              </w:rPr>
              <w:fldChar w:fldCharType="end"/>
            </w:r>
            <w:r w:rsidR="00F95494" w:rsidRPr="000D1F78">
              <w:rPr>
                <w:rFonts w:ascii="Arial" w:hAnsi="Arial" w:cs="Arial"/>
                <w:color w:val="000000"/>
                <w:sz w:val="16"/>
                <w:szCs w:val="16"/>
                <w:lang w:val="en-US"/>
              </w:rPr>
              <w:t>1</w:t>
            </w:r>
          </w:p>
        </w:tc>
      </w:tr>
      <w:tr w:rsidR="004947E8" w:rsidRPr="000D1F78" w:rsidTr="00110CFD">
        <w:tc>
          <w:tcPr>
            <w:tcW w:w="4680" w:type="dxa"/>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Other non-operating income</w:t>
            </w:r>
          </w:p>
        </w:tc>
        <w:tc>
          <w:tcPr>
            <w:tcW w:w="1440" w:type="dxa"/>
            <w:shd w:val="clear" w:color="auto" w:fill="auto"/>
            <w:vAlign w:val="bottom"/>
          </w:tcPr>
          <w:p w:rsidR="004947E8" w:rsidRPr="000D1F78" w:rsidRDefault="00C8777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1</w:t>
            </w:r>
            <w:r w:rsidR="000C08A2" w:rsidRPr="000D1F78">
              <w:rPr>
                <w:rFonts w:ascii="Arial" w:hAnsi="Arial" w:cs="Arial"/>
                <w:color w:val="000000"/>
                <w:sz w:val="16"/>
                <w:szCs w:val="16"/>
                <w:lang w:val="en-US"/>
              </w:rPr>
              <w:t>5</w:t>
            </w:r>
            <w:r w:rsidRPr="000D1F78">
              <w:rPr>
                <w:rFonts w:ascii="Arial" w:hAnsi="Arial" w:cs="Arial"/>
                <w:color w:val="000000"/>
                <w:sz w:val="16"/>
                <w:szCs w:val="16"/>
                <w:lang w:val="en-US"/>
              </w:rPr>
              <w:t>.</w:t>
            </w:r>
            <w:r w:rsidR="000C08A2" w:rsidRPr="000D1F78">
              <w:rPr>
                <w:rFonts w:ascii="Arial" w:hAnsi="Arial" w:cs="Arial"/>
                <w:color w:val="000000"/>
                <w:sz w:val="16"/>
                <w:szCs w:val="16"/>
                <w:lang w:val="en-US"/>
              </w:rPr>
              <w:t>447</w:t>
            </w:r>
          </w:p>
        </w:tc>
        <w:tc>
          <w:tcPr>
            <w:tcW w:w="1251" w:type="dxa"/>
            <w:shd w:val="clear" w:color="auto" w:fill="auto"/>
            <w:vAlign w:val="bottom"/>
          </w:tcPr>
          <w:p w:rsidR="004947E8" w:rsidRPr="000D1F78" w:rsidRDefault="000C08A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1</w:t>
            </w:r>
            <w:r w:rsidR="00C87772" w:rsidRPr="000D1F78">
              <w:rPr>
                <w:rFonts w:ascii="Arial" w:hAnsi="Arial" w:cs="Arial"/>
                <w:color w:val="000000"/>
                <w:sz w:val="16"/>
                <w:szCs w:val="16"/>
                <w:lang w:val="en-US"/>
              </w:rPr>
              <w:t>.</w:t>
            </w:r>
            <w:r w:rsidRPr="000D1F78">
              <w:rPr>
                <w:rFonts w:ascii="Arial" w:hAnsi="Arial" w:cs="Arial"/>
                <w:color w:val="000000"/>
                <w:sz w:val="16"/>
                <w:szCs w:val="16"/>
                <w:lang w:val="en-US"/>
              </w:rPr>
              <w:t>1</w:t>
            </w:r>
            <w:r w:rsidR="00C87772" w:rsidRPr="000D1F78">
              <w:rPr>
                <w:rFonts w:ascii="Arial" w:hAnsi="Arial" w:cs="Arial"/>
                <w:color w:val="000000"/>
                <w:sz w:val="16"/>
                <w:szCs w:val="16"/>
                <w:lang w:val="en-US"/>
              </w:rPr>
              <w:t>44</w:t>
            </w:r>
          </w:p>
        </w:tc>
        <w:tc>
          <w:tcPr>
            <w:tcW w:w="1296" w:type="dxa"/>
            <w:shd w:val="clear" w:color="auto" w:fill="auto"/>
            <w:vAlign w:val="bottom"/>
          </w:tcPr>
          <w:p w:rsidR="004947E8" w:rsidRPr="000D1F78" w:rsidRDefault="000C08A2"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t>14.303</w:t>
            </w:r>
          </w:p>
        </w:tc>
      </w:tr>
      <w:tr w:rsidR="004947E8" w:rsidRPr="000D1F78" w:rsidTr="00110CFD">
        <w:tc>
          <w:tcPr>
            <w:tcW w:w="4680" w:type="dxa"/>
            <w:tcBorders>
              <w:bottom w:val="single" w:sz="4" w:space="0" w:color="auto"/>
            </w:tcBorders>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Subsidy income from the national government</w:t>
            </w:r>
          </w:p>
        </w:tc>
        <w:tc>
          <w:tcPr>
            <w:tcW w:w="1440" w:type="dxa"/>
            <w:tcBorders>
              <w:bottom w:val="single" w:sz="4" w:space="0" w:color="auto"/>
            </w:tcBorders>
            <w:shd w:val="clear" w:color="auto" w:fill="auto"/>
            <w:vAlign w:val="bottom"/>
          </w:tcPr>
          <w:p w:rsidR="004947E8" w:rsidRPr="000D1F78" w:rsidRDefault="000C08A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401.370</w:t>
            </w:r>
          </w:p>
        </w:tc>
        <w:tc>
          <w:tcPr>
            <w:tcW w:w="1251" w:type="dxa"/>
            <w:tcBorders>
              <w:bottom w:val="single" w:sz="4" w:space="0" w:color="auto"/>
            </w:tcBorders>
            <w:shd w:val="clear" w:color="auto" w:fill="auto"/>
            <w:vAlign w:val="bottom"/>
          </w:tcPr>
          <w:p w:rsidR="004947E8" w:rsidRPr="000D1F78" w:rsidRDefault="000C08A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345</w:t>
            </w:r>
            <w:r w:rsidR="004947E8" w:rsidRPr="000D1F78">
              <w:rPr>
                <w:rFonts w:ascii="Arial" w:hAnsi="Arial" w:cs="Arial"/>
                <w:color w:val="000000"/>
                <w:sz w:val="16"/>
                <w:szCs w:val="16"/>
                <w:lang w:val="en-US"/>
              </w:rPr>
              <w:t>.</w:t>
            </w:r>
            <w:r w:rsidRPr="000D1F78">
              <w:rPr>
                <w:rFonts w:ascii="Arial" w:hAnsi="Arial" w:cs="Arial"/>
                <w:color w:val="000000"/>
                <w:sz w:val="16"/>
                <w:szCs w:val="16"/>
                <w:lang w:val="en-US"/>
              </w:rPr>
              <w:t>530</w:t>
            </w:r>
          </w:p>
        </w:tc>
        <w:tc>
          <w:tcPr>
            <w:tcW w:w="1296" w:type="dxa"/>
            <w:tcBorders>
              <w:bottom w:val="single" w:sz="4" w:space="0" w:color="auto"/>
            </w:tcBorders>
            <w:shd w:val="clear" w:color="auto" w:fill="auto"/>
            <w:vAlign w:val="bottom"/>
          </w:tcPr>
          <w:p w:rsidR="004947E8" w:rsidRPr="000D1F78" w:rsidRDefault="000C08A2"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t>55.840</w:t>
            </w:r>
          </w:p>
        </w:tc>
      </w:tr>
      <w:tr w:rsidR="004947E8" w:rsidRPr="000D1F78" w:rsidTr="00110CFD">
        <w:tc>
          <w:tcPr>
            <w:tcW w:w="4680" w:type="dxa"/>
            <w:tcBorders>
              <w:top w:val="single" w:sz="4" w:space="0" w:color="auto"/>
              <w:bottom w:val="double" w:sz="4" w:space="0" w:color="auto"/>
            </w:tcBorders>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Net surplus</w:t>
            </w:r>
            <w:r w:rsidR="0042434A">
              <w:rPr>
                <w:rFonts w:ascii="Arial" w:hAnsi="Arial" w:cs="Arial"/>
                <w:color w:val="000000"/>
                <w:sz w:val="16"/>
                <w:szCs w:val="16"/>
                <w:lang w:val="en-US"/>
              </w:rPr>
              <w:t xml:space="preserve">/(deficit) </w:t>
            </w:r>
          </w:p>
        </w:tc>
        <w:tc>
          <w:tcPr>
            <w:tcW w:w="1440" w:type="dxa"/>
            <w:tcBorders>
              <w:top w:val="single" w:sz="4" w:space="0" w:color="auto"/>
              <w:bottom w:val="double" w:sz="4" w:space="0" w:color="auto"/>
            </w:tcBorders>
            <w:shd w:val="clear" w:color="auto" w:fill="auto"/>
            <w:vAlign w:val="bottom"/>
          </w:tcPr>
          <w:p w:rsidR="004947E8" w:rsidRPr="000D1F78" w:rsidRDefault="000C08A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9.940</w:t>
            </w:r>
          </w:p>
        </w:tc>
        <w:tc>
          <w:tcPr>
            <w:tcW w:w="1251" w:type="dxa"/>
            <w:tcBorders>
              <w:top w:val="single" w:sz="4" w:space="0" w:color="auto"/>
              <w:bottom w:val="double" w:sz="4" w:space="0" w:color="auto"/>
            </w:tcBorders>
            <w:shd w:val="clear" w:color="auto" w:fill="auto"/>
            <w:vAlign w:val="bottom"/>
          </w:tcPr>
          <w:p w:rsidR="004947E8" w:rsidRPr="000D1F78" w:rsidRDefault="00792A5F"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(66.534)</w:t>
            </w:r>
          </w:p>
        </w:tc>
        <w:tc>
          <w:tcPr>
            <w:tcW w:w="1296" w:type="dxa"/>
            <w:tcBorders>
              <w:top w:val="single" w:sz="4" w:space="0" w:color="auto"/>
              <w:bottom w:val="double" w:sz="4" w:space="0" w:color="auto"/>
            </w:tcBorders>
            <w:shd w:val="clear" w:color="auto" w:fill="auto"/>
            <w:vAlign w:val="bottom"/>
          </w:tcPr>
          <w:p w:rsidR="004947E8" w:rsidRPr="000D1F78" w:rsidRDefault="00F95494"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t>76.474</w:t>
            </w:r>
          </w:p>
        </w:tc>
      </w:tr>
    </w:tbl>
    <w:p w:rsidR="00650CE4" w:rsidRPr="00110CFD" w:rsidRDefault="00650CE4" w:rsidP="005C0558">
      <w:pPr>
        <w:pStyle w:val="NoSpacing"/>
        <w:jc w:val="both"/>
        <w:rPr>
          <w:rFonts w:ascii="Arial" w:hAnsi="Arial" w:cs="Arial"/>
          <w:sz w:val="16"/>
          <w:szCs w:val="16"/>
        </w:rPr>
      </w:pPr>
    </w:p>
    <w:p w:rsidR="004947E8" w:rsidRPr="00A1086B" w:rsidRDefault="004947E8" w:rsidP="00110CFD">
      <w:pPr>
        <w:pStyle w:val="NoSpacing"/>
        <w:tabs>
          <w:tab w:val="left" w:pos="360"/>
        </w:tabs>
        <w:jc w:val="both"/>
        <w:rPr>
          <w:rFonts w:ascii="Arial" w:hAnsi="Arial" w:cs="Arial"/>
          <w:b/>
          <w:sz w:val="20"/>
          <w:szCs w:val="20"/>
        </w:rPr>
      </w:pPr>
      <w:r w:rsidRPr="00A1086B">
        <w:rPr>
          <w:rFonts w:ascii="Arial" w:hAnsi="Arial" w:cs="Arial"/>
          <w:b/>
          <w:sz w:val="20"/>
          <w:szCs w:val="20"/>
        </w:rPr>
        <w:t>III.</w:t>
      </w:r>
      <w:r w:rsidRPr="00A1086B">
        <w:rPr>
          <w:rFonts w:ascii="Arial" w:hAnsi="Arial" w:cs="Arial"/>
          <w:b/>
          <w:sz w:val="20"/>
          <w:szCs w:val="20"/>
        </w:rPr>
        <w:tab/>
        <w:t>Comparison of Budget and Actual Amounts</w:t>
      </w:r>
    </w:p>
    <w:p w:rsidR="00650CE4" w:rsidRPr="00A7575A" w:rsidRDefault="00650CE4" w:rsidP="005C0558">
      <w:pPr>
        <w:pStyle w:val="NoSpacing"/>
        <w:jc w:val="both"/>
        <w:rPr>
          <w:rFonts w:ascii="Arial" w:hAnsi="Arial" w:cs="Arial"/>
          <w:b/>
          <w:sz w:val="18"/>
          <w:szCs w:val="18"/>
        </w:rPr>
      </w:pPr>
    </w:p>
    <w:tbl>
      <w:tblPr>
        <w:tblW w:w="8667" w:type="dxa"/>
        <w:tblInd w:w="108" w:type="dxa"/>
        <w:tblLook w:val="04A0" w:firstRow="1" w:lastRow="0" w:firstColumn="1" w:lastColumn="0" w:noHBand="0" w:noVBand="1"/>
      </w:tblPr>
      <w:tblGrid>
        <w:gridCol w:w="4680"/>
        <w:gridCol w:w="1440"/>
        <w:gridCol w:w="1251"/>
        <w:gridCol w:w="1296"/>
      </w:tblGrid>
      <w:tr w:rsidR="006019DF" w:rsidRPr="000D1F78" w:rsidTr="00110CFD">
        <w:trPr>
          <w:tblHeader/>
        </w:trPr>
        <w:tc>
          <w:tcPr>
            <w:tcW w:w="4680" w:type="dxa"/>
            <w:tcBorders>
              <w:top w:val="single" w:sz="4" w:space="0" w:color="auto"/>
              <w:bottom w:val="single" w:sz="4" w:space="0" w:color="auto"/>
            </w:tcBorders>
            <w:shd w:val="clear" w:color="auto" w:fill="auto"/>
          </w:tcPr>
          <w:p w:rsidR="004947E8" w:rsidRPr="000D1F78" w:rsidRDefault="004947E8" w:rsidP="000D1F78">
            <w:pPr>
              <w:pStyle w:val="NoSpacing"/>
              <w:ind w:left="-109"/>
              <w:jc w:val="both"/>
              <w:rPr>
                <w:rFonts w:ascii="Arial" w:hAnsi="Arial" w:cs="Arial"/>
                <w:b/>
                <w:color w:val="000000"/>
                <w:sz w:val="16"/>
                <w:szCs w:val="16"/>
                <w:lang w:val="en-US"/>
              </w:rPr>
            </w:pPr>
          </w:p>
        </w:tc>
        <w:tc>
          <w:tcPr>
            <w:tcW w:w="1440" w:type="dxa"/>
            <w:tcBorders>
              <w:top w:val="single" w:sz="4" w:space="0" w:color="auto"/>
              <w:bottom w:val="single" w:sz="4" w:space="0" w:color="auto"/>
            </w:tcBorders>
            <w:shd w:val="clear" w:color="auto" w:fill="auto"/>
            <w:vAlign w:val="bottom"/>
          </w:tcPr>
          <w:p w:rsidR="004947E8" w:rsidRPr="000D1F78" w:rsidRDefault="004947E8" w:rsidP="000D1F78">
            <w:pPr>
              <w:pStyle w:val="NoSpacing"/>
              <w:jc w:val="right"/>
              <w:rPr>
                <w:rFonts w:ascii="Arial" w:hAnsi="Arial" w:cs="Arial"/>
                <w:b/>
                <w:color w:val="000000"/>
                <w:sz w:val="16"/>
                <w:szCs w:val="16"/>
                <w:lang w:val="en-US"/>
              </w:rPr>
            </w:pPr>
            <w:r w:rsidRPr="000D1F78">
              <w:rPr>
                <w:rFonts w:ascii="Arial" w:hAnsi="Arial" w:cs="Arial"/>
                <w:b/>
                <w:color w:val="000000"/>
                <w:sz w:val="16"/>
                <w:szCs w:val="16"/>
                <w:lang w:val="en-US"/>
              </w:rPr>
              <w:t>Budget</w:t>
            </w:r>
          </w:p>
        </w:tc>
        <w:tc>
          <w:tcPr>
            <w:tcW w:w="1251" w:type="dxa"/>
            <w:tcBorders>
              <w:top w:val="single" w:sz="4" w:space="0" w:color="auto"/>
              <w:bottom w:val="single" w:sz="4" w:space="0" w:color="auto"/>
            </w:tcBorders>
            <w:shd w:val="clear" w:color="auto" w:fill="auto"/>
            <w:vAlign w:val="bottom"/>
          </w:tcPr>
          <w:p w:rsidR="004947E8" w:rsidRPr="000D1F78" w:rsidRDefault="004947E8" w:rsidP="000D1F78">
            <w:pPr>
              <w:pStyle w:val="NoSpacing"/>
              <w:jc w:val="right"/>
              <w:rPr>
                <w:rFonts w:ascii="Arial" w:hAnsi="Arial" w:cs="Arial"/>
                <w:b/>
                <w:color w:val="000000"/>
                <w:sz w:val="16"/>
                <w:szCs w:val="16"/>
                <w:lang w:val="en-US"/>
              </w:rPr>
            </w:pPr>
            <w:r w:rsidRPr="000D1F78">
              <w:rPr>
                <w:rFonts w:ascii="Arial" w:hAnsi="Arial" w:cs="Arial"/>
                <w:b/>
                <w:color w:val="000000"/>
                <w:sz w:val="16"/>
                <w:szCs w:val="16"/>
                <w:lang w:val="en-US"/>
              </w:rPr>
              <w:t>Actual</w:t>
            </w:r>
          </w:p>
        </w:tc>
        <w:tc>
          <w:tcPr>
            <w:tcW w:w="1296" w:type="dxa"/>
            <w:tcBorders>
              <w:top w:val="single" w:sz="4" w:space="0" w:color="auto"/>
              <w:bottom w:val="single" w:sz="4" w:space="0" w:color="auto"/>
            </w:tcBorders>
            <w:shd w:val="clear" w:color="auto" w:fill="auto"/>
            <w:vAlign w:val="bottom"/>
          </w:tcPr>
          <w:p w:rsidR="004947E8" w:rsidRPr="000D1F78" w:rsidRDefault="005C0558" w:rsidP="000D1F78">
            <w:pPr>
              <w:pStyle w:val="NoSpacing"/>
              <w:ind w:right="-76"/>
              <w:jc w:val="right"/>
              <w:rPr>
                <w:rFonts w:ascii="Arial" w:hAnsi="Arial" w:cs="Arial"/>
                <w:b/>
                <w:color w:val="000000"/>
                <w:sz w:val="16"/>
                <w:szCs w:val="16"/>
                <w:lang w:val="en-US"/>
              </w:rPr>
            </w:pPr>
            <w:r w:rsidRPr="000D1F78">
              <w:rPr>
                <w:rFonts w:ascii="Arial" w:hAnsi="Arial" w:cs="Arial"/>
                <w:b/>
                <w:color w:val="000000"/>
                <w:sz w:val="16"/>
                <w:szCs w:val="16"/>
                <w:lang w:val="en-US"/>
              </w:rPr>
              <w:t>D</w:t>
            </w:r>
            <w:r w:rsidR="00650CE4" w:rsidRPr="000D1F78">
              <w:rPr>
                <w:rFonts w:ascii="Arial" w:hAnsi="Arial" w:cs="Arial"/>
                <w:b/>
                <w:color w:val="000000"/>
                <w:sz w:val="16"/>
                <w:szCs w:val="16"/>
                <w:lang w:val="en-US"/>
              </w:rPr>
              <w:t>ifference</w:t>
            </w:r>
          </w:p>
        </w:tc>
      </w:tr>
      <w:tr w:rsidR="006019DF" w:rsidRPr="000D1F78" w:rsidTr="00110CFD">
        <w:tc>
          <w:tcPr>
            <w:tcW w:w="4680" w:type="dxa"/>
            <w:tcBorders>
              <w:top w:val="single" w:sz="4" w:space="0" w:color="auto"/>
            </w:tcBorders>
            <w:shd w:val="clear" w:color="auto" w:fill="auto"/>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Personnel services</w:t>
            </w:r>
          </w:p>
        </w:tc>
        <w:tc>
          <w:tcPr>
            <w:tcW w:w="1440" w:type="dxa"/>
            <w:tcBorders>
              <w:top w:val="single" w:sz="4" w:space="0" w:color="auto"/>
            </w:tcBorders>
            <w:shd w:val="clear" w:color="auto" w:fill="auto"/>
            <w:vAlign w:val="bottom"/>
          </w:tcPr>
          <w:p w:rsidR="004947E8" w:rsidRPr="000D1F78" w:rsidRDefault="005C0558"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2</w:t>
            </w:r>
            <w:r w:rsidR="006019DF" w:rsidRPr="000D1F78">
              <w:rPr>
                <w:rFonts w:ascii="Arial" w:hAnsi="Arial" w:cs="Arial"/>
                <w:color w:val="000000"/>
                <w:sz w:val="16"/>
                <w:szCs w:val="16"/>
                <w:lang w:val="en-US"/>
              </w:rPr>
              <w:t>44</w:t>
            </w:r>
            <w:r w:rsidRPr="000D1F78">
              <w:rPr>
                <w:rFonts w:ascii="Arial" w:hAnsi="Arial" w:cs="Arial"/>
                <w:color w:val="000000"/>
                <w:sz w:val="16"/>
                <w:szCs w:val="16"/>
                <w:lang w:val="en-US"/>
              </w:rPr>
              <w:t>.</w:t>
            </w:r>
            <w:r w:rsidR="006019DF" w:rsidRPr="000D1F78">
              <w:rPr>
                <w:rFonts w:ascii="Arial" w:hAnsi="Arial" w:cs="Arial"/>
                <w:color w:val="000000"/>
                <w:sz w:val="16"/>
                <w:szCs w:val="16"/>
                <w:lang w:val="en-US"/>
              </w:rPr>
              <w:t>360</w:t>
            </w:r>
          </w:p>
        </w:tc>
        <w:tc>
          <w:tcPr>
            <w:tcW w:w="1251" w:type="dxa"/>
            <w:tcBorders>
              <w:top w:val="single" w:sz="4" w:space="0" w:color="auto"/>
            </w:tcBorders>
            <w:shd w:val="clear" w:color="auto" w:fill="auto"/>
            <w:vAlign w:val="bottom"/>
          </w:tcPr>
          <w:p w:rsidR="004947E8" w:rsidRPr="000D1F78" w:rsidRDefault="005C0558"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2</w:t>
            </w:r>
            <w:r w:rsidR="006019DF" w:rsidRPr="000D1F78">
              <w:rPr>
                <w:rFonts w:ascii="Arial" w:hAnsi="Arial" w:cs="Arial"/>
                <w:color w:val="000000"/>
                <w:sz w:val="16"/>
                <w:szCs w:val="16"/>
                <w:lang w:val="en-US"/>
              </w:rPr>
              <w:t>43</w:t>
            </w:r>
            <w:r w:rsidRPr="000D1F78">
              <w:rPr>
                <w:rFonts w:ascii="Arial" w:hAnsi="Arial" w:cs="Arial"/>
                <w:color w:val="000000"/>
                <w:sz w:val="16"/>
                <w:szCs w:val="16"/>
                <w:lang w:val="en-US"/>
              </w:rPr>
              <w:t>.</w:t>
            </w:r>
            <w:r w:rsidR="006019DF" w:rsidRPr="000D1F78">
              <w:rPr>
                <w:rFonts w:ascii="Arial" w:hAnsi="Arial" w:cs="Arial"/>
                <w:color w:val="000000"/>
                <w:sz w:val="16"/>
                <w:szCs w:val="16"/>
                <w:lang w:val="en-US"/>
              </w:rPr>
              <w:t>022</w:t>
            </w:r>
          </w:p>
        </w:tc>
        <w:tc>
          <w:tcPr>
            <w:tcW w:w="1296" w:type="dxa"/>
            <w:tcBorders>
              <w:top w:val="single" w:sz="4" w:space="0" w:color="auto"/>
            </w:tcBorders>
            <w:shd w:val="clear" w:color="auto" w:fill="auto"/>
            <w:vAlign w:val="bottom"/>
          </w:tcPr>
          <w:p w:rsidR="004947E8" w:rsidRPr="000D1F78" w:rsidRDefault="00AB3EAC"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B573D6" w:rsidRPr="000D1F78">
              <w:rPr>
                <w:rFonts w:ascii="Arial" w:hAnsi="Arial" w:cs="Arial"/>
                <w:color w:val="000000"/>
                <w:sz w:val="16"/>
                <w:szCs w:val="16"/>
                <w:lang w:val="en-US"/>
              </w:rPr>
              <w:instrText xml:space="preserve"> =b2-c2 \# "#,##0.000;(#,##0.000)" </w:instrText>
            </w:r>
            <w:r w:rsidRPr="000D1F78">
              <w:rPr>
                <w:rFonts w:ascii="Arial" w:hAnsi="Arial" w:cs="Arial"/>
                <w:color w:val="000000"/>
                <w:sz w:val="16"/>
                <w:szCs w:val="16"/>
                <w:lang w:val="en-US"/>
              </w:rPr>
              <w:fldChar w:fldCharType="separate"/>
            </w:r>
            <w:r w:rsidR="00B573D6" w:rsidRPr="000D1F78">
              <w:rPr>
                <w:rFonts w:ascii="Arial" w:hAnsi="Arial" w:cs="Arial"/>
                <w:noProof/>
                <w:color w:val="000000"/>
                <w:sz w:val="16"/>
                <w:szCs w:val="16"/>
                <w:lang w:val="en-US"/>
              </w:rPr>
              <w:t xml:space="preserve">  </w:t>
            </w:r>
            <w:r w:rsidR="006019DF" w:rsidRPr="000D1F78">
              <w:rPr>
                <w:rFonts w:ascii="Arial" w:hAnsi="Arial" w:cs="Arial"/>
                <w:noProof/>
                <w:color w:val="000000"/>
                <w:sz w:val="16"/>
                <w:szCs w:val="16"/>
                <w:lang w:val="en-US"/>
              </w:rPr>
              <w:t>1.338</w:t>
            </w:r>
            <w:r w:rsidRPr="000D1F78">
              <w:rPr>
                <w:rFonts w:ascii="Arial" w:hAnsi="Arial" w:cs="Arial"/>
                <w:color w:val="000000"/>
                <w:sz w:val="16"/>
                <w:szCs w:val="16"/>
                <w:lang w:val="en-US"/>
              </w:rPr>
              <w:fldChar w:fldCharType="end"/>
            </w:r>
          </w:p>
        </w:tc>
      </w:tr>
      <w:tr w:rsidR="006019DF" w:rsidRPr="000D1F78" w:rsidTr="00110CFD">
        <w:tc>
          <w:tcPr>
            <w:tcW w:w="4680" w:type="dxa"/>
            <w:shd w:val="clear" w:color="auto" w:fill="auto"/>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Maintenance and other operating expenses</w:t>
            </w:r>
          </w:p>
        </w:tc>
        <w:tc>
          <w:tcPr>
            <w:tcW w:w="1440" w:type="dxa"/>
            <w:shd w:val="clear" w:color="auto" w:fill="auto"/>
            <w:vAlign w:val="bottom"/>
          </w:tcPr>
          <w:p w:rsidR="004947E8" w:rsidRPr="000D1F78" w:rsidRDefault="005C0558"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2</w:t>
            </w:r>
            <w:r w:rsidR="006019DF" w:rsidRPr="000D1F78">
              <w:rPr>
                <w:rFonts w:ascii="Arial" w:hAnsi="Arial" w:cs="Arial"/>
                <w:color w:val="000000"/>
                <w:sz w:val="16"/>
                <w:szCs w:val="16"/>
                <w:lang w:val="en-US"/>
              </w:rPr>
              <w:t>16</w:t>
            </w:r>
            <w:r w:rsidRPr="000D1F78">
              <w:rPr>
                <w:rFonts w:ascii="Arial" w:hAnsi="Arial" w:cs="Arial"/>
                <w:color w:val="000000"/>
                <w:sz w:val="16"/>
                <w:szCs w:val="16"/>
                <w:lang w:val="en-US"/>
              </w:rPr>
              <w:t>.</w:t>
            </w:r>
            <w:r w:rsidR="006019DF" w:rsidRPr="000D1F78">
              <w:rPr>
                <w:rFonts w:ascii="Arial" w:hAnsi="Arial" w:cs="Arial"/>
                <w:color w:val="000000"/>
                <w:sz w:val="16"/>
                <w:szCs w:val="16"/>
                <w:lang w:val="en-US"/>
              </w:rPr>
              <w:t>195</w:t>
            </w:r>
          </w:p>
        </w:tc>
        <w:tc>
          <w:tcPr>
            <w:tcW w:w="1251" w:type="dxa"/>
            <w:shd w:val="clear" w:color="auto" w:fill="auto"/>
            <w:vAlign w:val="bottom"/>
          </w:tcPr>
          <w:p w:rsidR="004947E8" w:rsidRPr="000D1F78" w:rsidRDefault="006019DF"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187</w:t>
            </w:r>
            <w:r w:rsidR="005C0558" w:rsidRPr="000D1F78">
              <w:rPr>
                <w:rFonts w:ascii="Arial" w:hAnsi="Arial" w:cs="Arial"/>
                <w:color w:val="000000"/>
                <w:sz w:val="16"/>
                <w:szCs w:val="16"/>
                <w:lang w:val="en-US"/>
              </w:rPr>
              <w:t>.</w:t>
            </w:r>
            <w:r w:rsidRPr="000D1F78">
              <w:rPr>
                <w:rFonts w:ascii="Arial" w:hAnsi="Arial" w:cs="Arial"/>
                <w:color w:val="000000"/>
                <w:sz w:val="16"/>
                <w:szCs w:val="16"/>
                <w:lang w:val="en-US"/>
              </w:rPr>
              <w:t>920</w:t>
            </w:r>
          </w:p>
        </w:tc>
        <w:tc>
          <w:tcPr>
            <w:tcW w:w="1296" w:type="dxa"/>
            <w:shd w:val="clear" w:color="auto" w:fill="auto"/>
            <w:vAlign w:val="bottom"/>
          </w:tcPr>
          <w:p w:rsidR="004947E8" w:rsidRPr="000D1F78" w:rsidRDefault="006019DF"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t>28.275</w:t>
            </w:r>
          </w:p>
        </w:tc>
      </w:tr>
      <w:tr w:rsidR="006019DF" w:rsidRPr="000D1F78" w:rsidTr="00110CFD">
        <w:tc>
          <w:tcPr>
            <w:tcW w:w="4680" w:type="dxa"/>
            <w:shd w:val="clear" w:color="auto" w:fill="auto"/>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Investment outlay</w:t>
            </w:r>
          </w:p>
        </w:tc>
        <w:tc>
          <w:tcPr>
            <w:tcW w:w="1440" w:type="dxa"/>
            <w:shd w:val="clear" w:color="auto" w:fill="auto"/>
            <w:vAlign w:val="bottom"/>
          </w:tcPr>
          <w:p w:rsidR="004947E8" w:rsidRPr="000D1F78" w:rsidRDefault="006019DF"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385</w:t>
            </w:r>
            <w:r w:rsidR="005C0558" w:rsidRPr="000D1F78">
              <w:rPr>
                <w:rFonts w:ascii="Arial" w:hAnsi="Arial" w:cs="Arial"/>
                <w:color w:val="000000"/>
                <w:sz w:val="16"/>
                <w:szCs w:val="16"/>
                <w:lang w:val="en-US"/>
              </w:rPr>
              <w:t>.</w:t>
            </w:r>
            <w:r w:rsidRPr="000D1F78">
              <w:rPr>
                <w:rFonts w:ascii="Arial" w:hAnsi="Arial" w:cs="Arial"/>
                <w:color w:val="000000"/>
                <w:sz w:val="16"/>
                <w:szCs w:val="16"/>
                <w:lang w:val="en-US"/>
              </w:rPr>
              <w:t>283</w:t>
            </w:r>
          </w:p>
        </w:tc>
        <w:tc>
          <w:tcPr>
            <w:tcW w:w="1251" w:type="dxa"/>
            <w:shd w:val="clear" w:color="auto" w:fill="auto"/>
            <w:vAlign w:val="bottom"/>
          </w:tcPr>
          <w:p w:rsidR="004947E8" w:rsidRPr="000D1F78" w:rsidRDefault="006019DF"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236</w:t>
            </w:r>
            <w:r w:rsidR="005C0558" w:rsidRPr="000D1F78">
              <w:rPr>
                <w:rFonts w:ascii="Arial" w:hAnsi="Arial" w:cs="Arial"/>
                <w:color w:val="000000"/>
                <w:sz w:val="16"/>
                <w:szCs w:val="16"/>
                <w:lang w:val="en-US"/>
              </w:rPr>
              <w:t>.</w:t>
            </w:r>
            <w:r w:rsidRPr="000D1F78">
              <w:rPr>
                <w:rFonts w:ascii="Arial" w:hAnsi="Arial" w:cs="Arial"/>
                <w:color w:val="000000"/>
                <w:sz w:val="16"/>
                <w:szCs w:val="16"/>
                <w:lang w:val="en-US"/>
              </w:rPr>
              <w:t>887</w:t>
            </w:r>
          </w:p>
        </w:tc>
        <w:tc>
          <w:tcPr>
            <w:tcW w:w="1296" w:type="dxa"/>
            <w:shd w:val="clear" w:color="auto" w:fill="auto"/>
            <w:vAlign w:val="bottom"/>
          </w:tcPr>
          <w:p w:rsidR="004947E8" w:rsidRPr="000D1F78" w:rsidRDefault="00AB3EAC"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5C0558" w:rsidRPr="000D1F78">
              <w:rPr>
                <w:rFonts w:ascii="Arial" w:hAnsi="Arial" w:cs="Arial"/>
                <w:color w:val="000000"/>
                <w:sz w:val="16"/>
                <w:szCs w:val="16"/>
                <w:lang w:val="en-US"/>
              </w:rPr>
              <w:instrText xml:space="preserve"> =b4-c4 \# "#,##0.000;(#,##0.000)" </w:instrText>
            </w:r>
            <w:r w:rsidRPr="000D1F78">
              <w:rPr>
                <w:rFonts w:ascii="Arial" w:hAnsi="Arial" w:cs="Arial"/>
                <w:color w:val="000000"/>
                <w:sz w:val="16"/>
                <w:szCs w:val="16"/>
                <w:lang w:val="en-US"/>
              </w:rPr>
              <w:fldChar w:fldCharType="separate"/>
            </w:r>
            <w:r w:rsidR="005C0558" w:rsidRPr="000D1F78">
              <w:rPr>
                <w:rFonts w:ascii="Arial" w:hAnsi="Arial" w:cs="Arial"/>
                <w:noProof/>
                <w:color w:val="000000"/>
                <w:sz w:val="16"/>
                <w:szCs w:val="16"/>
                <w:lang w:val="en-US"/>
              </w:rPr>
              <w:t xml:space="preserve"> </w:t>
            </w:r>
            <w:r w:rsidR="006019DF" w:rsidRPr="000D1F78">
              <w:rPr>
                <w:rFonts w:ascii="Arial" w:hAnsi="Arial" w:cs="Arial"/>
                <w:noProof/>
                <w:color w:val="000000"/>
                <w:sz w:val="16"/>
                <w:szCs w:val="16"/>
                <w:lang w:val="en-US"/>
              </w:rPr>
              <w:t>148</w:t>
            </w:r>
            <w:r w:rsidR="005C0558" w:rsidRPr="000D1F78">
              <w:rPr>
                <w:rFonts w:ascii="Arial" w:hAnsi="Arial" w:cs="Arial"/>
                <w:noProof/>
                <w:color w:val="000000"/>
                <w:sz w:val="16"/>
                <w:szCs w:val="16"/>
                <w:lang w:val="en-US"/>
              </w:rPr>
              <w:t>.3</w:t>
            </w:r>
            <w:r w:rsidRPr="000D1F78">
              <w:rPr>
                <w:rFonts w:ascii="Arial" w:hAnsi="Arial" w:cs="Arial"/>
                <w:color w:val="000000"/>
                <w:sz w:val="16"/>
                <w:szCs w:val="16"/>
                <w:lang w:val="en-US"/>
              </w:rPr>
              <w:fldChar w:fldCharType="end"/>
            </w:r>
            <w:r w:rsidR="006019DF" w:rsidRPr="000D1F78">
              <w:rPr>
                <w:rFonts w:ascii="Arial" w:hAnsi="Arial" w:cs="Arial"/>
                <w:color w:val="000000"/>
                <w:sz w:val="16"/>
                <w:szCs w:val="16"/>
                <w:lang w:val="en-US"/>
              </w:rPr>
              <w:t>96</w:t>
            </w:r>
          </w:p>
        </w:tc>
      </w:tr>
      <w:tr w:rsidR="006019DF" w:rsidRPr="000D1F78" w:rsidTr="00110CFD">
        <w:tc>
          <w:tcPr>
            <w:tcW w:w="4680" w:type="dxa"/>
            <w:shd w:val="clear" w:color="auto" w:fill="auto"/>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Capital outlay</w:t>
            </w:r>
          </w:p>
        </w:tc>
        <w:tc>
          <w:tcPr>
            <w:tcW w:w="1440" w:type="dxa"/>
            <w:shd w:val="clear" w:color="auto" w:fill="auto"/>
            <w:vAlign w:val="bottom"/>
          </w:tcPr>
          <w:p w:rsidR="004947E8" w:rsidRPr="000D1F78" w:rsidRDefault="005C0558"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1</w:t>
            </w:r>
            <w:r w:rsidR="006019DF" w:rsidRPr="000D1F78">
              <w:rPr>
                <w:rFonts w:ascii="Arial" w:hAnsi="Arial" w:cs="Arial"/>
                <w:color w:val="000000"/>
                <w:sz w:val="16"/>
                <w:szCs w:val="16"/>
                <w:lang w:val="en-US"/>
              </w:rPr>
              <w:t>57</w:t>
            </w:r>
            <w:r w:rsidRPr="000D1F78">
              <w:rPr>
                <w:rFonts w:ascii="Arial" w:hAnsi="Arial" w:cs="Arial"/>
                <w:color w:val="000000"/>
                <w:sz w:val="16"/>
                <w:szCs w:val="16"/>
                <w:lang w:val="en-US"/>
              </w:rPr>
              <w:t>.</w:t>
            </w:r>
            <w:r w:rsidR="006019DF" w:rsidRPr="000D1F78">
              <w:rPr>
                <w:rFonts w:ascii="Arial" w:hAnsi="Arial" w:cs="Arial"/>
                <w:color w:val="000000"/>
                <w:sz w:val="16"/>
                <w:szCs w:val="16"/>
                <w:lang w:val="en-US"/>
              </w:rPr>
              <w:t>372</w:t>
            </w:r>
          </w:p>
        </w:tc>
        <w:tc>
          <w:tcPr>
            <w:tcW w:w="1251" w:type="dxa"/>
            <w:shd w:val="clear" w:color="auto" w:fill="auto"/>
            <w:vAlign w:val="bottom"/>
          </w:tcPr>
          <w:p w:rsidR="004947E8" w:rsidRPr="000D1F78" w:rsidRDefault="006019DF"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65</w:t>
            </w:r>
            <w:r w:rsidR="005C0558" w:rsidRPr="000D1F78">
              <w:rPr>
                <w:rFonts w:ascii="Arial" w:hAnsi="Arial" w:cs="Arial"/>
                <w:color w:val="000000"/>
                <w:sz w:val="16"/>
                <w:szCs w:val="16"/>
                <w:lang w:val="en-US"/>
              </w:rPr>
              <w:t>.</w:t>
            </w:r>
            <w:r w:rsidRPr="000D1F78">
              <w:rPr>
                <w:rFonts w:ascii="Arial" w:hAnsi="Arial" w:cs="Arial"/>
                <w:color w:val="000000"/>
                <w:sz w:val="16"/>
                <w:szCs w:val="16"/>
                <w:lang w:val="en-US"/>
              </w:rPr>
              <w:t>496</w:t>
            </w:r>
          </w:p>
        </w:tc>
        <w:tc>
          <w:tcPr>
            <w:tcW w:w="1296" w:type="dxa"/>
            <w:shd w:val="clear" w:color="auto" w:fill="auto"/>
            <w:vAlign w:val="bottom"/>
          </w:tcPr>
          <w:p w:rsidR="004947E8" w:rsidRPr="000D1F78" w:rsidRDefault="00AB3EAC"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5C0558" w:rsidRPr="000D1F78">
              <w:rPr>
                <w:rFonts w:ascii="Arial" w:hAnsi="Arial" w:cs="Arial"/>
                <w:color w:val="000000"/>
                <w:sz w:val="16"/>
                <w:szCs w:val="16"/>
                <w:lang w:val="en-US"/>
              </w:rPr>
              <w:instrText xml:space="preserve"> =b5-c5 \# "#,##0.000;(#,##0.000)" </w:instrText>
            </w:r>
            <w:r w:rsidRPr="000D1F78">
              <w:rPr>
                <w:rFonts w:ascii="Arial" w:hAnsi="Arial" w:cs="Arial"/>
                <w:color w:val="000000"/>
                <w:sz w:val="16"/>
                <w:szCs w:val="16"/>
                <w:lang w:val="en-US"/>
              </w:rPr>
              <w:fldChar w:fldCharType="separate"/>
            </w:r>
            <w:r w:rsidR="00DB7BC2" w:rsidRPr="000D1F78">
              <w:rPr>
                <w:rFonts w:ascii="Arial" w:hAnsi="Arial" w:cs="Arial"/>
                <w:noProof/>
                <w:color w:val="000000"/>
                <w:sz w:val="16"/>
                <w:szCs w:val="16"/>
                <w:lang w:val="en-US"/>
              </w:rPr>
              <w:t xml:space="preserve"> 91.876</w:t>
            </w:r>
            <w:r w:rsidRPr="000D1F78">
              <w:rPr>
                <w:rFonts w:ascii="Arial" w:hAnsi="Arial" w:cs="Arial"/>
                <w:color w:val="000000"/>
                <w:sz w:val="16"/>
                <w:szCs w:val="16"/>
                <w:lang w:val="en-US"/>
              </w:rPr>
              <w:fldChar w:fldCharType="end"/>
            </w:r>
          </w:p>
        </w:tc>
      </w:tr>
      <w:tr w:rsidR="006019DF" w:rsidRPr="000D1F78" w:rsidTr="00110CFD">
        <w:tc>
          <w:tcPr>
            <w:tcW w:w="4680" w:type="dxa"/>
            <w:shd w:val="clear" w:color="auto" w:fill="auto"/>
          </w:tcPr>
          <w:p w:rsidR="004947E8" w:rsidRPr="000D1F78" w:rsidRDefault="004947E8" w:rsidP="00EF7B93">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 xml:space="preserve">Financial </w:t>
            </w:r>
            <w:r w:rsidR="004646A0">
              <w:rPr>
                <w:rFonts w:ascii="Arial" w:hAnsi="Arial" w:cs="Arial"/>
                <w:color w:val="000000"/>
                <w:sz w:val="16"/>
                <w:szCs w:val="16"/>
                <w:lang w:val="en-US"/>
              </w:rPr>
              <w:t>e</w:t>
            </w:r>
            <w:r w:rsidRPr="000D1F78">
              <w:rPr>
                <w:rFonts w:ascii="Arial" w:hAnsi="Arial" w:cs="Arial"/>
                <w:color w:val="000000"/>
                <w:sz w:val="16"/>
                <w:szCs w:val="16"/>
                <w:lang w:val="en-US"/>
              </w:rPr>
              <w:t>xpenses</w:t>
            </w:r>
          </w:p>
        </w:tc>
        <w:tc>
          <w:tcPr>
            <w:tcW w:w="1440" w:type="dxa"/>
            <w:shd w:val="clear" w:color="auto" w:fill="auto"/>
            <w:vAlign w:val="bottom"/>
          </w:tcPr>
          <w:p w:rsidR="004947E8" w:rsidRPr="000D1F78" w:rsidRDefault="006019DF"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0.04</w:t>
            </w:r>
            <w:r w:rsidR="005C0558" w:rsidRPr="000D1F78">
              <w:rPr>
                <w:rFonts w:ascii="Arial" w:hAnsi="Arial" w:cs="Arial"/>
                <w:color w:val="000000"/>
                <w:sz w:val="16"/>
                <w:szCs w:val="16"/>
                <w:lang w:val="en-US"/>
              </w:rPr>
              <w:t>9</w:t>
            </w:r>
          </w:p>
        </w:tc>
        <w:tc>
          <w:tcPr>
            <w:tcW w:w="1251" w:type="dxa"/>
            <w:shd w:val="clear" w:color="auto" w:fill="auto"/>
            <w:vAlign w:val="bottom"/>
          </w:tcPr>
          <w:p w:rsidR="004947E8" w:rsidRPr="000D1F78" w:rsidRDefault="005C0558"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0.04</w:t>
            </w:r>
            <w:r w:rsidR="00DB7BC2" w:rsidRPr="000D1F78">
              <w:rPr>
                <w:rFonts w:ascii="Arial" w:hAnsi="Arial" w:cs="Arial"/>
                <w:color w:val="000000"/>
                <w:sz w:val="16"/>
                <w:szCs w:val="16"/>
                <w:lang w:val="en-US"/>
              </w:rPr>
              <w:t>8</w:t>
            </w:r>
          </w:p>
        </w:tc>
        <w:tc>
          <w:tcPr>
            <w:tcW w:w="1296" w:type="dxa"/>
            <w:shd w:val="clear" w:color="auto" w:fill="auto"/>
            <w:vAlign w:val="bottom"/>
          </w:tcPr>
          <w:p w:rsidR="004947E8" w:rsidRPr="000D1F78" w:rsidRDefault="00AB3EAC"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5C0558" w:rsidRPr="000D1F78">
              <w:rPr>
                <w:rFonts w:ascii="Arial" w:hAnsi="Arial" w:cs="Arial"/>
                <w:color w:val="000000"/>
                <w:sz w:val="16"/>
                <w:szCs w:val="16"/>
                <w:lang w:val="en-US"/>
              </w:rPr>
              <w:instrText xml:space="preserve"> =b6-c6 \# "0.000;(0.000)" </w:instrText>
            </w:r>
            <w:r w:rsidRPr="000D1F78">
              <w:rPr>
                <w:rFonts w:ascii="Arial" w:hAnsi="Arial" w:cs="Arial"/>
                <w:color w:val="000000"/>
                <w:sz w:val="16"/>
                <w:szCs w:val="16"/>
                <w:lang w:val="en-US"/>
              </w:rPr>
              <w:fldChar w:fldCharType="separate"/>
            </w:r>
            <w:r w:rsidR="00DB7BC2" w:rsidRPr="000D1F78">
              <w:rPr>
                <w:rFonts w:ascii="Arial" w:hAnsi="Arial" w:cs="Arial"/>
                <w:noProof/>
                <w:color w:val="000000"/>
                <w:sz w:val="16"/>
                <w:szCs w:val="16"/>
                <w:lang w:val="en-US"/>
              </w:rPr>
              <w:t>0.001</w:t>
            </w:r>
            <w:r w:rsidRPr="000D1F78">
              <w:rPr>
                <w:rFonts w:ascii="Arial" w:hAnsi="Arial" w:cs="Arial"/>
                <w:color w:val="000000"/>
                <w:sz w:val="16"/>
                <w:szCs w:val="16"/>
                <w:lang w:val="en-US"/>
              </w:rPr>
              <w:fldChar w:fldCharType="end"/>
            </w:r>
          </w:p>
        </w:tc>
      </w:tr>
      <w:tr w:rsidR="006019DF" w:rsidRPr="000D1F78" w:rsidTr="00110CFD">
        <w:tc>
          <w:tcPr>
            <w:tcW w:w="4680" w:type="dxa"/>
            <w:tcBorders>
              <w:bottom w:val="single" w:sz="4" w:space="0" w:color="auto"/>
            </w:tcBorders>
            <w:shd w:val="clear" w:color="auto" w:fill="auto"/>
          </w:tcPr>
          <w:p w:rsidR="004947E8" w:rsidRPr="000D1F78" w:rsidRDefault="004947E8" w:rsidP="000D1F78">
            <w:pPr>
              <w:pStyle w:val="NoSpacing"/>
              <w:ind w:left="-109"/>
              <w:jc w:val="both"/>
              <w:rPr>
                <w:rFonts w:ascii="Arial" w:hAnsi="Arial" w:cs="Arial"/>
                <w:color w:val="000000"/>
                <w:sz w:val="16"/>
                <w:szCs w:val="16"/>
                <w:lang w:val="en-US"/>
              </w:rPr>
            </w:pPr>
            <w:r w:rsidRPr="000D1F78">
              <w:rPr>
                <w:rFonts w:ascii="Arial" w:hAnsi="Arial" w:cs="Arial"/>
                <w:color w:val="000000"/>
                <w:sz w:val="16"/>
                <w:szCs w:val="16"/>
                <w:lang w:val="en-US"/>
              </w:rPr>
              <w:t>Accounts payable</w:t>
            </w:r>
          </w:p>
        </w:tc>
        <w:tc>
          <w:tcPr>
            <w:tcW w:w="1440" w:type="dxa"/>
            <w:tcBorders>
              <w:bottom w:val="single" w:sz="4" w:space="0" w:color="auto"/>
            </w:tcBorders>
            <w:shd w:val="clear" w:color="auto" w:fill="auto"/>
            <w:vAlign w:val="bottom"/>
          </w:tcPr>
          <w:p w:rsidR="004947E8" w:rsidRPr="000D1F78" w:rsidRDefault="00F95494"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w:t>
            </w:r>
          </w:p>
        </w:tc>
        <w:tc>
          <w:tcPr>
            <w:tcW w:w="1251" w:type="dxa"/>
            <w:tcBorders>
              <w:bottom w:val="single" w:sz="4" w:space="0" w:color="auto"/>
            </w:tcBorders>
            <w:shd w:val="clear" w:color="auto" w:fill="auto"/>
            <w:vAlign w:val="bottom"/>
          </w:tcPr>
          <w:p w:rsidR="004947E8" w:rsidRPr="000D1F78" w:rsidRDefault="00F95494"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20.432</w:t>
            </w:r>
          </w:p>
        </w:tc>
        <w:tc>
          <w:tcPr>
            <w:tcW w:w="1296" w:type="dxa"/>
            <w:tcBorders>
              <w:bottom w:val="single" w:sz="4" w:space="0" w:color="auto"/>
            </w:tcBorders>
            <w:shd w:val="clear" w:color="auto" w:fill="auto"/>
            <w:vAlign w:val="bottom"/>
          </w:tcPr>
          <w:p w:rsidR="004947E8" w:rsidRPr="000D1F78" w:rsidRDefault="00AB3EAC"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5C0558" w:rsidRPr="000D1F78">
              <w:rPr>
                <w:rFonts w:ascii="Arial" w:hAnsi="Arial" w:cs="Arial"/>
                <w:color w:val="000000"/>
                <w:sz w:val="16"/>
                <w:szCs w:val="16"/>
                <w:lang w:val="en-US"/>
              </w:rPr>
              <w:instrText xml:space="preserve"> =b7-c7 \# "#,##0.000;(#,##0.000)" </w:instrText>
            </w:r>
            <w:r w:rsidRPr="000D1F78">
              <w:rPr>
                <w:rFonts w:ascii="Arial" w:hAnsi="Arial" w:cs="Arial"/>
                <w:color w:val="000000"/>
                <w:sz w:val="16"/>
                <w:szCs w:val="16"/>
                <w:lang w:val="en-US"/>
              </w:rPr>
              <w:fldChar w:fldCharType="separate"/>
            </w:r>
            <w:r w:rsidR="005C0558" w:rsidRPr="000D1F78">
              <w:rPr>
                <w:rFonts w:ascii="Arial" w:hAnsi="Arial" w:cs="Arial"/>
                <w:noProof/>
                <w:color w:val="000000"/>
                <w:sz w:val="16"/>
                <w:szCs w:val="16"/>
                <w:lang w:val="en-US"/>
              </w:rPr>
              <w:t xml:space="preserve">  </w:t>
            </w:r>
            <w:r w:rsidR="00F95494" w:rsidRPr="000D1F78">
              <w:rPr>
                <w:rFonts w:ascii="Arial" w:hAnsi="Arial" w:cs="Arial"/>
                <w:noProof/>
                <w:color w:val="000000"/>
                <w:sz w:val="16"/>
                <w:szCs w:val="16"/>
                <w:lang w:val="en-US"/>
              </w:rPr>
              <w:t>(20.432)</w:t>
            </w:r>
            <w:r w:rsidRPr="000D1F78">
              <w:rPr>
                <w:rFonts w:ascii="Arial" w:hAnsi="Arial" w:cs="Arial"/>
                <w:color w:val="000000"/>
                <w:sz w:val="16"/>
                <w:szCs w:val="16"/>
                <w:lang w:val="en-US"/>
              </w:rPr>
              <w:fldChar w:fldCharType="end"/>
            </w:r>
          </w:p>
        </w:tc>
      </w:tr>
      <w:tr w:rsidR="006019DF" w:rsidRPr="000D1F78" w:rsidTr="00110CFD">
        <w:tc>
          <w:tcPr>
            <w:tcW w:w="4680" w:type="dxa"/>
            <w:tcBorders>
              <w:top w:val="single" w:sz="4" w:space="0" w:color="auto"/>
              <w:bottom w:val="double" w:sz="4" w:space="0" w:color="auto"/>
            </w:tcBorders>
            <w:shd w:val="clear" w:color="auto" w:fill="auto"/>
            <w:vAlign w:val="bottom"/>
          </w:tcPr>
          <w:p w:rsidR="004947E8" w:rsidRPr="000D1F78" w:rsidRDefault="004947E8" w:rsidP="000D1F78">
            <w:pPr>
              <w:pStyle w:val="NoSpacing"/>
              <w:ind w:left="-109"/>
              <w:jc w:val="both"/>
              <w:rPr>
                <w:rFonts w:ascii="Arial" w:hAnsi="Arial" w:cs="Arial"/>
                <w:color w:val="000000"/>
                <w:sz w:val="16"/>
                <w:szCs w:val="16"/>
                <w:lang w:val="en-US"/>
              </w:rPr>
            </w:pPr>
          </w:p>
        </w:tc>
        <w:tc>
          <w:tcPr>
            <w:tcW w:w="1440" w:type="dxa"/>
            <w:tcBorders>
              <w:top w:val="single" w:sz="4" w:space="0" w:color="auto"/>
              <w:bottom w:val="double" w:sz="4" w:space="0" w:color="auto"/>
            </w:tcBorders>
            <w:shd w:val="clear" w:color="auto" w:fill="auto"/>
            <w:vAlign w:val="bottom"/>
          </w:tcPr>
          <w:p w:rsidR="004947E8" w:rsidRPr="000D1F78" w:rsidRDefault="00AB3EAC"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B573D6" w:rsidRPr="000D1F78">
              <w:rPr>
                <w:rFonts w:ascii="Arial" w:hAnsi="Arial" w:cs="Arial"/>
                <w:color w:val="000000"/>
                <w:sz w:val="16"/>
                <w:szCs w:val="16"/>
                <w:lang w:val="en-US"/>
              </w:rPr>
              <w:instrText xml:space="preserve"> =sum(b2:b7) \# "#,##0.000;(#,##0.000)" </w:instrText>
            </w:r>
            <w:r w:rsidRPr="000D1F78">
              <w:rPr>
                <w:rFonts w:ascii="Arial" w:hAnsi="Arial" w:cs="Arial"/>
                <w:color w:val="000000"/>
                <w:sz w:val="16"/>
                <w:szCs w:val="16"/>
                <w:lang w:val="en-US"/>
              </w:rPr>
              <w:fldChar w:fldCharType="separate"/>
            </w:r>
            <w:r w:rsidR="00B573D6" w:rsidRPr="000D1F78">
              <w:rPr>
                <w:rFonts w:ascii="Arial" w:hAnsi="Arial" w:cs="Arial"/>
                <w:noProof/>
                <w:color w:val="000000"/>
                <w:sz w:val="16"/>
                <w:szCs w:val="16"/>
                <w:lang w:val="en-US"/>
              </w:rPr>
              <w:t>1,</w:t>
            </w:r>
            <w:r w:rsidR="00DB7BC2" w:rsidRPr="000D1F78">
              <w:rPr>
                <w:rFonts w:ascii="Arial" w:hAnsi="Arial" w:cs="Arial"/>
                <w:noProof/>
                <w:color w:val="000000"/>
                <w:sz w:val="16"/>
                <w:szCs w:val="16"/>
                <w:lang w:val="en-US"/>
              </w:rPr>
              <w:t>003</w:t>
            </w:r>
            <w:r w:rsidR="00B573D6" w:rsidRPr="000D1F78">
              <w:rPr>
                <w:rFonts w:ascii="Arial" w:hAnsi="Arial" w:cs="Arial"/>
                <w:noProof/>
                <w:color w:val="000000"/>
                <w:sz w:val="16"/>
                <w:szCs w:val="16"/>
                <w:lang w:val="en-US"/>
              </w:rPr>
              <w:t>.</w:t>
            </w:r>
            <w:r w:rsidR="00DB7BC2" w:rsidRPr="000D1F78">
              <w:rPr>
                <w:rFonts w:ascii="Arial" w:hAnsi="Arial" w:cs="Arial"/>
                <w:noProof/>
                <w:color w:val="000000"/>
                <w:sz w:val="16"/>
                <w:szCs w:val="16"/>
                <w:lang w:val="en-US"/>
              </w:rPr>
              <w:t>259</w:t>
            </w:r>
            <w:r w:rsidRPr="000D1F78">
              <w:rPr>
                <w:rFonts w:ascii="Arial" w:hAnsi="Arial" w:cs="Arial"/>
                <w:color w:val="000000"/>
                <w:sz w:val="16"/>
                <w:szCs w:val="16"/>
                <w:lang w:val="en-US"/>
              </w:rPr>
              <w:fldChar w:fldCharType="end"/>
            </w:r>
          </w:p>
        </w:tc>
        <w:tc>
          <w:tcPr>
            <w:tcW w:w="1251" w:type="dxa"/>
            <w:tcBorders>
              <w:top w:val="single" w:sz="4" w:space="0" w:color="auto"/>
              <w:bottom w:val="double" w:sz="4" w:space="0" w:color="auto"/>
            </w:tcBorders>
            <w:shd w:val="clear" w:color="auto" w:fill="auto"/>
            <w:vAlign w:val="bottom"/>
          </w:tcPr>
          <w:p w:rsidR="004947E8" w:rsidRPr="000D1F78" w:rsidRDefault="00DB7BC2" w:rsidP="000D1F78">
            <w:pPr>
              <w:pStyle w:val="NoSpacing"/>
              <w:jc w:val="right"/>
              <w:rPr>
                <w:rFonts w:ascii="Arial" w:hAnsi="Arial" w:cs="Arial"/>
                <w:color w:val="000000"/>
                <w:sz w:val="16"/>
                <w:szCs w:val="16"/>
                <w:lang w:val="en-US"/>
              </w:rPr>
            </w:pPr>
            <w:r w:rsidRPr="000D1F78">
              <w:rPr>
                <w:rFonts w:ascii="Arial" w:hAnsi="Arial" w:cs="Arial"/>
                <w:color w:val="000000"/>
                <w:sz w:val="16"/>
                <w:szCs w:val="16"/>
                <w:lang w:val="en-US"/>
              </w:rPr>
              <w:t>753.805</w:t>
            </w:r>
          </w:p>
        </w:tc>
        <w:tc>
          <w:tcPr>
            <w:tcW w:w="1296" w:type="dxa"/>
            <w:tcBorders>
              <w:top w:val="single" w:sz="4" w:space="0" w:color="auto"/>
              <w:bottom w:val="double" w:sz="4" w:space="0" w:color="auto"/>
            </w:tcBorders>
            <w:shd w:val="clear" w:color="auto" w:fill="auto"/>
            <w:vAlign w:val="bottom"/>
          </w:tcPr>
          <w:p w:rsidR="004947E8" w:rsidRPr="000D1F78" w:rsidRDefault="00AB3EAC" w:rsidP="000D1F78">
            <w:pPr>
              <w:pStyle w:val="NoSpacing"/>
              <w:ind w:right="-76"/>
              <w:jc w:val="right"/>
              <w:rPr>
                <w:rFonts w:ascii="Arial" w:hAnsi="Arial" w:cs="Arial"/>
                <w:color w:val="000000"/>
                <w:sz w:val="16"/>
                <w:szCs w:val="16"/>
                <w:lang w:val="en-US"/>
              </w:rPr>
            </w:pPr>
            <w:r w:rsidRPr="000D1F78">
              <w:rPr>
                <w:rFonts w:ascii="Arial" w:hAnsi="Arial" w:cs="Arial"/>
                <w:color w:val="000000"/>
                <w:sz w:val="16"/>
                <w:szCs w:val="16"/>
                <w:lang w:val="en-US"/>
              </w:rPr>
              <w:fldChar w:fldCharType="begin"/>
            </w:r>
            <w:r w:rsidR="00B573D6" w:rsidRPr="000D1F78">
              <w:rPr>
                <w:rFonts w:ascii="Arial" w:hAnsi="Arial" w:cs="Arial"/>
                <w:color w:val="000000"/>
                <w:sz w:val="16"/>
                <w:szCs w:val="16"/>
                <w:lang w:val="en-US"/>
              </w:rPr>
              <w:instrText xml:space="preserve"> =sum(d2:d7) \# "#,##0.000;(#,##0.000)" </w:instrText>
            </w:r>
            <w:r w:rsidRPr="000D1F78">
              <w:rPr>
                <w:rFonts w:ascii="Arial" w:hAnsi="Arial" w:cs="Arial"/>
                <w:color w:val="000000"/>
                <w:sz w:val="16"/>
                <w:szCs w:val="16"/>
                <w:lang w:val="en-US"/>
              </w:rPr>
              <w:fldChar w:fldCharType="separate"/>
            </w:r>
            <w:r w:rsidR="00B573D6" w:rsidRPr="000D1F78">
              <w:rPr>
                <w:rFonts w:ascii="Arial" w:hAnsi="Arial" w:cs="Arial"/>
                <w:noProof/>
                <w:color w:val="000000"/>
                <w:sz w:val="16"/>
                <w:szCs w:val="16"/>
                <w:lang w:val="en-US"/>
              </w:rPr>
              <w:t xml:space="preserve"> </w:t>
            </w:r>
            <w:r w:rsidR="00DB7BC2" w:rsidRPr="000D1F78">
              <w:rPr>
                <w:rFonts w:ascii="Arial" w:hAnsi="Arial" w:cs="Arial"/>
                <w:noProof/>
                <w:color w:val="000000"/>
                <w:sz w:val="16"/>
                <w:szCs w:val="16"/>
                <w:lang w:val="en-US"/>
              </w:rPr>
              <w:t>249.454</w:t>
            </w:r>
            <w:r w:rsidRPr="000D1F78">
              <w:rPr>
                <w:rFonts w:ascii="Arial" w:hAnsi="Arial" w:cs="Arial"/>
                <w:color w:val="000000"/>
                <w:sz w:val="16"/>
                <w:szCs w:val="16"/>
                <w:lang w:val="en-US"/>
              </w:rPr>
              <w:fldChar w:fldCharType="end"/>
            </w:r>
          </w:p>
        </w:tc>
      </w:tr>
    </w:tbl>
    <w:p w:rsidR="004947E8" w:rsidRPr="00650CE4" w:rsidRDefault="004947E8" w:rsidP="005C0558">
      <w:pPr>
        <w:pStyle w:val="NoSpacing"/>
        <w:jc w:val="both"/>
        <w:rPr>
          <w:rFonts w:ascii="Arial" w:hAnsi="Arial" w:cs="Arial"/>
          <w:b/>
        </w:rPr>
      </w:pPr>
      <w:r w:rsidRPr="00650CE4">
        <w:rPr>
          <w:rFonts w:ascii="Arial" w:hAnsi="Arial" w:cs="Arial"/>
          <w:b/>
        </w:rPr>
        <w:lastRenderedPageBreak/>
        <w:t>SCOPE OF AUDIT</w:t>
      </w:r>
    </w:p>
    <w:p w:rsidR="004947E8" w:rsidRPr="00A1086B" w:rsidRDefault="004947E8" w:rsidP="005C0558">
      <w:pPr>
        <w:pStyle w:val="NoSpacing"/>
        <w:jc w:val="both"/>
        <w:rPr>
          <w:rFonts w:ascii="Arial" w:hAnsi="Arial" w:cs="Arial"/>
          <w:sz w:val="20"/>
          <w:szCs w:val="20"/>
        </w:rPr>
      </w:pPr>
    </w:p>
    <w:p w:rsidR="004947E8" w:rsidRPr="005C0558" w:rsidRDefault="00CF63A8" w:rsidP="005C0558">
      <w:pPr>
        <w:pStyle w:val="NoSpacing"/>
        <w:jc w:val="both"/>
        <w:rPr>
          <w:rFonts w:ascii="Arial" w:hAnsi="Arial" w:cs="Arial"/>
          <w:color w:val="000000"/>
        </w:rPr>
      </w:pPr>
      <w:r>
        <w:rPr>
          <w:rFonts w:ascii="Arial" w:hAnsi="Arial" w:cs="Arial"/>
          <w:color w:val="000000"/>
        </w:rPr>
        <w:t xml:space="preserve">The audit covered the examination, on a test basis, of the accounts and financial transactions of </w:t>
      </w:r>
      <w:r w:rsidR="004947E8" w:rsidRPr="005C0558">
        <w:rPr>
          <w:rFonts w:ascii="Arial" w:hAnsi="Arial" w:cs="Arial"/>
          <w:color w:val="000000"/>
        </w:rPr>
        <w:t xml:space="preserve">NTA for </w:t>
      </w:r>
      <w:r>
        <w:rPr>
          <w:rFonts w:ascii="Arial" w:hAnsi="Arial" w:cs="Arial"/>
          <w:color w:val="000000"/>
        </w:rPr>
        <w:t>the period January 1 to December 31, 201</w:t>
      </w:r>
      <w:r w:rsidR="007140B0">
        <w:rPr>
          <w:rFonts w:ascii="Arial" w:hAnsi="Arial" w:cs="Arial"/>
          <w:color w:val="000000"/>
        </w:rPr>
        <w:t>9</w:t>
      </w:r>
      <w:r>
        <w:rPr>
          <w:rFonts w:ascii="Arial" w:hAnsi="Arial" w:cs="Arial"/>
          <w:color w:val="000000"/>
        </w:rPr>
        <w:t xml:space="preserve"> in accordance with International Standards of Supreme Audit Institutions to enable us to express an opinion on the fairness of the presentation of the financial statements for the years ended December 31, 201</w:t>
      </w:r>
      <w:r w:rsidR="007140B0">
        <w:rPr>
          <w:rFonts w:ascii="Arial" w:hAnsi="Arial" w:cs="Arial"/>
          <w:color w:val="000000"/>
        </w:rPr>
        <w:t>9</w:t>
      </w:r>
      <w:r>
        <w:rPr>
          <w:rFonts w:ascii="Arial" w:hAnsi="Arial" w:cs="Arial"/>
          <w:color w:val="000000"/>
        </w:rPr>
        <w:t xml:space="preserve"> and 201</w:t>
      </w:r>
      <w:r w:rsidR="007140B0">
        <w:rPr>
          <w:rFonts w:ascii="Arial" w:hAnsi="Arial" w:cs="Arial"/>
          <w:color w:val="000000"/>
        </w:rPr>
        <w:t>8</w:t>
      </w:r>
      <w:r w:rsidR="004947E8" w:rsidRPr="005C0558">
        <w:rPr>
          <w:rFonts w:ascii="Arial" w:hAnsi="Arial" w:cs="Arial"/>
          <w:color w:val="000000"/>
        </w:rPr>
        <w:t xml:space="preserve">. </w:t>
      </w:r>
      <w:r w:rsidR="004F3A71">
        <w:rPr>
          <w:rFonts w:ascii="Arial" w:hAnsi="Arial" w:cs="Arial"/>
          <w:color w:val="000000"/>
        </w:rPr>
        <w:t xml:space="preserve"> </w:t>
      </w:r>
      <w:r>
        <w:rPr>
          <w:rFonts w:ascii="Arial" w:hAnsi="Arial" w:cs="Arial"/>
          <w:color w:val="000000"/>
        </w:rPr>
        <w:t xml:space="preserve">Also, we conducted our </w:t>
      </w:r>
      <w:r w:rsidR="004947E8" w:rsidRPr="005C0558">
        <w:rPr>
          <w:rFonts w:ascii="Arial" w:hAnsi="Arial" w:cs="Arial"/>
          <w:color w:val="000000"/>
        </w:rPr>
        <w:t xml:space="preserve">audit </w:t>
      </w:r>
      <w:r>
        <w:rPr>
          <w:rFonts w:ascii="Arial" w:hAnsi="Arial" w:cs="Arial"/>
          <w:color w:val="000000"/>
        </w:rPr>
        <w:t xml:space="preserve">to assess compliance with pertinent </w:t>
      </w:r>
      <w:r w:rsidR="004947E8" w:rsidRPr="005C0558">
        <w:rPr>
          <w:rFonts w:ascii="Arial" w:hAnsi="Arial" w:cs="Arial"/>
          <w:color w:val="000000"/>
        </w:rPr>
        <w:t>laws, rules and regulations</w:t>
      </w:r>
      <w:r>
        <w:rPr>
          <w:rFonts w:ascii="Arial" w:hAnsi="Arial" w:cs="Arial"/>
          <w:color w:val="000000"/>
        </w:rPr>
        <w:t>, as well as, adherence to prescribed policies and procedures.</w:t>
      </w:r>
    </w:p>
    <w:p w:rsidR="004947E8" w:rsidRPr="00A1086B" w:rsidRDefault="004947E8" w:rsidP="005C0558">
      <w:pPr>
        <w:pStyle w:val="NoSpacing"/>
        <w:jc w:val="both"/>
        <w:rPr>
          <w:rFonts w:ascii="Arial" w:hAnsi="Arial" w:cs="Arial"/>
          <w:sz w:val="20"/>
          <w:szCs w:val="20"/>
        </w:rPr>
      </w:pPr>
    </w:p>
    <w:p w:rsidR="004947E8" w:rsidRPr="00A1086B" w:rsidRDefault="004947E8" w:rsidP="005C0558">
      <w:pPr>
        <w:pStyle w:val="NoSpacing"/>
        <w:jc w:val="both"/>
        <w:rPr>
          <w:rFonts w:ascii="Arial" w:hAnsi="Arial" w:cs="Arial"/>
          <w:sz w:val="20"/>
          <w:szCs w:val="20"/>
        </w:rPr>
      </w:pPr>
    </w:p>
    <w:p w:rsidR="004947E8" w:rsidRPr="00650CE4" w:rsidRDefault="00546748" w:rsidP="005C0558">
      <w:pPr>
        <w:pStyle w:val="NoSpacing"/>
        <w:jc w:val="both"/>
        <w:rPr>
          <w:rFonts w:ascii="Arial" w:hAnsi="Arial" w:cs="Arial"/>
          <w:b/>
        </w:rPr>
      </w:pPr>
      <w:r>
        <w:rPr>
          <w:rFonts w:ascii="Arial" w:hAnsi="Arial" w:cs="Arial"/>
          <w:b/>
        </w:rPr>
        <w:t>INDEPENDENT AUDITOR’S REPORT ON THE FINANCIAL STATEMENTS</w:t>
      </w:r>
    </w:p>
    <w:p w:rsidR="004947E8" w:rsidRPr="00A1086B" w:rsidRDefault="004947E8" w:rsidP="005C0558">
      <w:pPr>
        <w:pStyle w:val="NoSpacing"/>
        <w:jc w:val="both"/>
        <w:rPr>
          <w:rFonts w:ascii="Arial" w:hAnsi="Arial" w:cs="Arial"/>
          <w:sz w:val="20"/>
          <w:szCs w:val="20"/>
        </w:rPr>
      </w:pPr>
    </w:p>
    <w:p w:rsidR="004105A1" w:rsidRPr="00DA0A54" w:rsidRDefault="004947E8" w:rsidP="00025398">
      <w:pPr>
        <w:pStyle w:val="NoSpacing"/>
        <w:jc w:val="both"/>
        <w:rPr>
          <w:rFonts w:ascii="Arial" w:hAnsi="Arial" w:cs="Arial"/>
        </w:rPr>
      </w:pPr>
      <w:r w:rsidRPr="00F04C3A">
        <w:rPr>
          <w:rFonts w:ascii="Arial" w:hAnsi="Arial" w:cs="Arial"/>
          <w:color w:val="000000"/>
        </w:rPr>
        <w:t xml:space="preserve">We rendered a qualified opinion on the fairness of the presentation of the financial statements </w:t>
      </w:r>
      <w:r w:rsidR="006B225A" w:rsidRPr="00025398">
        <w:rPr>
          <w:rFonts w:ascii="Arial" w:hAnsi="Arial" w:cs="Arial"/>
        </w:rPr>
        <w:t xml:space="preserve">due to inadequate </w:t>
      </w:r>
      <w:r w:rsidR="00C01BAA" w:rsidRPr="00025398">
        <w:rPr>
          <w:rFonts w:ascii="Arial" w:hAnsi="Arial" w:cs="Arial"/>
        </w:rPr>
        <w:t>provision for impairment losses, contrary to Paragraphs 67 and 68 of Philippine Public Sector Accounting Standard (PPSAS) 29 and NTA’s policy on the measurement and revaluation of Receivables, as such, Allowance for Impairment Losses was understated by P99.662 million while Accumulated Surplus was overstated for the same amount as at December 31, 2019</w:t>
      </w:r>
      <w:r w:rsidR="004105A1" w:rsidRPr="00DA0A54">
        <w:rPr>
          <w:rFonts w:ascii="Arial" w:hAnsi="Arial" w:cs="Arial"/>
        </w:rPr>
        <w:t>.</w:t>
      </w:r>
    </w:p>
    <w:p w:rsidR="004F3A71" w:rsidRDefault="004F3A71" w:rsidP="00650CE4">
      <w:pPr>
        <w:pStyle w:val="NoSpacing"/>
        <w:jc w:val="both"/>
        <w:rPr>
          <w:rFonts w:ascii="Arial" w:hAnsi="Arial" w:cs="Arial"/>
          <w:lang w:val="en-US"/>
        </w:rPr>
      </w:pPr>
    </w:p>
    <w:p w:rsidR="00C63839" w:rsidRPr="00C01BAA" w:rsidRDefault="00650CE4" w:rsidP="004105A1">
      <w:pPr>
        <w:pStyle w:val="NoSpacing"/>
        <w:jc w:val="both"/>
        <w:rPr>
          <w:rFonts w:ascii="Arial" w:hAnsi="Arial" w:cs="Arial"/>
        </w:rPr>
      </w:pPr>
      <w:r w:rsidRPr="000D1F78">
        <w:rPr>
          <w:rFonts w:ascii="Arial" w:hAnsi="Arial" w:cs="Arial"/>
          <w:color w:val="000000"/>
        </w:rPr>
        <w:t>For the above observation</w:t>
      </w:r>
      <w:r w:rsidR="00535C94" w:rsidRPr="000D1F78">
        <w:rPr>
          <w:rFonts w:ascii="Arial" w:hAnsi="Arial" w:cs="Arial"/>
          <w:color w:val="000000"/>
        </w:rPr>
        <w:t>,</w:t>
      </w:r>
      <w:r w:rsidRPr="000D1F78">
        <w:rPr>
          <w:rFonts w:ascii="Arial" w:hAnsi="Arial" w:cs="Arial"/>
          <w:color w:val="000000"/>
        </w:rPr>
        <w:t xml:space="preserve"> which caused the issuance of a qualified opinion, </w:t>
      </w:r>
      <w:bookmarkStart w:id="1" w:name="_Hlk6422080"/>
      <w:bookmarkStart w:id="2" w:name="_Hlk6422660"/>
      <w:r w:rsidR="00C01BAA" w:rsidRPr="00C01BAA">
        <w:rPr>
          <w:rFonts w:ascii="Arial" w:hAnsi="Arial" w:cs="Arial"/>
          <w:color w:val="000000"/>
        </w:rPr>
        <w:t>w</w:t>
      </w:r>
      <w:r w:rsidR="00C01BAA" w:rsidRPr="00C01BAA">
        <w:rPr>
          <w:rFonts w:ascii="Arial" w:hAnsi="Arial" w:cs="Arial"/>
        </w:rPr>
        <w:t xml:space="preserve">e recommended that the Management instruct the CO and BOs’ Accountants to recalculate and adjust the Allowance for Impairment Losses to fairly present the Receivables, Other Current and Non-Current Assets accounts in the financial statements, in compliance with the pertinent provisions of PPSAS 29 and NTA’s policy on impairment </w:t>
      </w:r>
      <w:r w:rsidR="00C63839" w:rsidRPr="00C01BAA">
        <w:rPr>
          <w:rFonts w:ascii="Arial" w:hAnsi="Arial" w:cs="Arial"/>
        </w:rPr>
        <w:t>losses</w:t>
      </w:r>
      <w:r w:rsidR="003F59C8">
        <w:rPr>
          <w:rFonts w:ascii="Arial" w:hAnsi="Arial" w:cs="Arial"/>
        </w:rPr>
        <w:t>.</w:t>
      </w:r>
    </w:p>
    <w:p w:rsidR="00432030" w:rsidRDefault="00432030" w:rsidP="00C63839">
      <w:pPr>
        <w:pStyle w:val="NoSpacing"/>
        <w:ind w:left="720" w:right="-7"/>
        <w:jc w:val="both"/>
        <w:rPr>
          <w:rFonts w:ascii="Arial" w:hAnsi="Arial" w:cs="Arial"/>
        </w:rPr>
      </w:pPr>
    </w:p>
    <w:p w:rsidR="004105A1" w:rsidRPr="00C63839" w:rsidRDefault="004105A1" w:rsidP="00C63839">
      <w:pPr>
        <w:pStyle w:val="NoSpacing"/>
        <w:ind w:left="720" w:right="-7"/>
        <w:jc w:val="both"/>
        <w:rPr>
          <w:rFonts w:ascii="Arial" w:hAnsi="Arial" w:cs="Arial"/>
        </w:rPr>
      </w:pPr>
    </w:p>
    <w:bookmarkEnd w:id="1"/>
    <w:bookmarkEnd w:id="2"/>
    <w:p w:rsidR="002333A9" w:rsidRPr="000D1F78" w:rsidRDefault="002333A9" w:rsidP="002333A9">
      <w:pPr>
        <w:pStyle w:val="NoSpacing"/>
        <w:jc w:val="both"/>
        <w:rPr>
          <w:rFonts w:ascii="Arial" w:hAnsi="Arial" w:cs="Arial"/>
          <w:b/>
          <w:color w:val="000000"/>
        </w:rPr>
      </w:pPr>
      <w:r w:rsidRPr="000D1F78">
        <w:rPr>
          <w:rFonts w:ascii="Arial" w:hAnsi="Arial" w:cs="Arial"/>
          <w:b/>
          <w:color w:val="000000"/>
        </w:rPr>
        <w:t>OTHER SIGNIFICANT AUDIT OBSERVATIONS AND RECOMMENDATIONS</w:t>
      </w:r>
    </w:p>
    <w:p w:rsidR="002333A9" w:rsidRPr="000D1F78" w:rsidRDefault="002333A9" w:rsidP="002333A9">
      <w:pPr>
        <w:pStyle w:val="NoSpacing"/>
        <w:ind w:left="720"/>
        <w:jc w:val="both"/>
        <w:rPr>
          <w:rFonts w:ascii="Arial" w:hAnsi="Arial" w:cs="Arial"/>
          <w:color w:val="000000"/>
          <w:sz w:val="20"/>
        </w:rPr>
      </w:pPr>
    </w:p>
    <w:p w:rsidR="00E01302" w:rsidRPr="00C01BAA" w:rsidRDefault="00C01BAA" w:rsidP="004105A1">
      <w:pPr>
        <w:pStyle w:val="ListParagraph"/>
        <w:numPr>
          <w:ilvl w:val="0"/>
          <w:numId w:val="12"/>
        </w:numPr>
        <w:spacing w:after="0" w:afterAutospacing="0"/>
        <w:ind w:left="0" w:firstLine="0"/>
        <w:jc w:val="both"/>
        <w:rPr>
          <w:rFonts w:ascii="Arial" w:hAnsi="Arial" w:cs="Arial"/>
          <w:bCs/>
        </w:rPr>
      </w:pPr>
      <w:r w:rsidRPr="00C01BAA">
        <w:rPr>
          <w:rFonts w:ascii="Arial" w:hAnsi="Arial" w:cs="Arial"/>
          <w:bCs/>
        </w:rPr>
        <w:t xml:space="preserve">The collections from Supervision and Regulation Enforcement (S&amp;RE) fees for </w:t>
      </w:r>
      <w:r w:rsidR="00B24DBC">
        <w:rPr>
          <w:rFonts w:ascii="Arial" w:hAnsi="Arial" w:cs="Arial"/>
          <w:bCs/>
        </w:rPr>
        <w:t>Calendar Year (</w:t>
      </w:r>
      <w:r w:rsidRPr="00C01BAA">
        <w:rPr>
          <w:rFonts w:ascii="Arial" w:hAnsi="Arial" w:cs="Arial"/>
          <w:bCs/>
        </w:rPr>
        <w:t>CY</w:t>
      </w:r>
      <w:r w:rsidR="00B24DBC">
        <w:rPr>
          <w:rFonts w:ascii="Arial" w:hAnsi="Arial" w:cs="Arial"/>
          <w:bCs/>
        </w:rPr>
        <w:t>)</w:t>
      </w:r>
      <w:r w:rsidRPr="00C01BAA">
        <w:rPr>
          <w:rFonts w:ascii="Arial" w:hAnsi="Arial" w:cs="Arial"/>
          <w:bCs/>
        </w:rPr>
        <w:t xml:space="preserve"> 2019 amounting to P79.109 million, fell short by P93.537 million or 54.18 per cent as compared to the projected collection of P172.646 million due to strict regulation on anti-smoking and increase in tobacco excise tax, </w:t>
      </w:r>
      <w:r w:rsidRPr="00C01BAA">
        <w:rPr>
          <w:rFonts w:ascii="Arial" w:hAnsi="Arial" w:cs="Arial"/>
          <w:bCs/>
          <w:lang w:val="en-PH"/>
        </w:rPr>
        <w:t xml:space="preserve">which </w:t>
      </w:r>
      <w:r w:rsidRPr="00C01BAA">
        <w:rPr>
          <w:rFonts w:ascii="Arial" w:hAnsi="Arial" w:cs="Arial"/>
          <w:bCs/>
        </w:rPr>
        <w:t>result</w:t>
      </w:r>
      <w:r w:rsidRPr="00C01BAA">
        <w:rPr>
          <w:rFonts w:ascii="Arial" w:hAnsi="Arial" w:cs="Arial"/>
          <w:bCs/>
          <w:lang w:val="en-PH"/>
        </w:rPr>
        <w:t xml:space="preserve">ed in decrease in </w:t>
      </w:r>
      <w:r w:rsidRPr="00C01BAA">
        <w:rPr>
          <w:rFonts w:ascii="Arial" w:hAnsi="Arial" w:cs="Arial"/>
          <w:bCs/>
        </w:rPr>
        <w:t>revenue from collection</w:t>
      </w:r>
      <w:r w:rsidRPr="00C01BAA">
        <w:rPr>
          <w:rFonts w:ascii="Arial" w:hAnsi="Arial" w:cs="Arial"/>
          <w:bCs/>
          <w:lang w:val="en-PH"/>
        </w:rPr>
        <w:t>s</w:t>
      </w:r>
      <w:r w:rsidRPr="00C01BAA">
        <w:rPr>
          <w:rFonts w:ascii="Arial" w:hAnsi="Arial" w:cs="Arial"/>
          <w:bCs/>
        </w:rPr>
        <w:t xml:space="preserve"> of S&amp;RE fees by P36.152 million or 31.37 per cent from</w:t>
      </w:r>
      <w:r w:rsidRPr="00C01BAA">
        <w:rPr>
          <w:rFonts w:ascii="Arial" w:hAnsi="Arial" w:cs="Arial"/>
          <w:bCs/>
          <w:lang w:val="en-PH"/>
        </w:rPr>
        <w:t xml:space="preserve"> </w:t>
      </w:r>
      <w:r w:rsidRPr="00C01BAA">
        <w:rPr>
          <w:rFonts w:ascii="Arial" w:hAnsi="Arial" w:cs="Arial"/>
          <w:bCs/>
        </w:rPr>
        <w:t>CY 2018 to CY 2019</w:t>
      </w:r>
      <w:r w:rsidR="004105A1" w:rsidRPr="00C01BAA">
        <w:rPr>
          <w:rFonts w:ascii="Arial" w:hAnsi="Arial" w:cs="Arial"/>
          <w:bCs/>
        </w:rPr>
        <w:t>.</w:t>
      </w:r>
    </w:p>
    <w:p w:rsidR="00C024FF" w:rsidRPr="00C024FF" w:rsidRDefault="00C024FF" w:rsidP="00C024FF">
      <w:pPr>
        <w:pStyle w:val="ListParagraph"/>
        <w:spacing w:after="0" w:afterAutospacing="0"/>
        <w:ind w:left="0"/>
        <w:jc w:val="both"/>
        <w:rPr>
          <w:rFonts w:ascii="Arial" w:hAnsi="Arial" w:cs="Arial"/>
        </w:rPr>
      </w:pPr>
    </w:p>
    <w:p w:rsidR="005F13D0" w:rsidRPr="004105A1" w:rsidRDefault="00B070A8" w:rsidP="004105A1">
      <w:pPr>
        <w:pStyle w:val="ListParagraph"/>
        <w:spacing w:after="0" w:afterAutospacing="0"/>
        <w:ind w:left="0"/>
        <w:jc w:val="both"/>
        <w:rPr>
          <w:rFonts w:ascii="Arial" w:hAnsi="Arial" w:cs="Arial"/>
          <w:bCs/>
        </w:rPr>
      </w:pPr>
      <w:r>
        <w:rPr>
          <w:rFonts w:ascii="Arial" w:hAnsi="Arial" w:cs="Arial"/>
        </w:rPr>
        <w:t>1.1</w:t>
      </w:r>
      <w:r>
        <w:rPr>
          <w:rFonts w:ascii="Arial" w:hAnsi="Arial" w:cs="Arial"/>
        </w:rPr>
        <w:tab/>
      </w:r>
      <w:r w:rsidR="00C01BAA" w:rsidRPr="00C01BAA">
        <w:rPr>
          <w:rFonts w:ascii="Arial" w:hAnsi="Arial" w:cs="Arial"/>
        </w:rPr>
        <w:t>We recommended that Management instruct the Manager of the Regulation and Finance Departments to prepare realistic and attainable projected revenue in order to accomplish and implement projected programs/activities/projects, thus, attaining its objectives and benefiting the intended</w:t>
      </w:r>
      <w:r w:rsidR="00C01BAA" w:rsidRPr="00E53158">
        <w:rPr>
          <w:rFonts w:ascii="Arial" w:hAnsi="Arial" w:cs="Arial"/>
          <w:b/>
          <w:bCs/>
        </w:rPr>
        <w:t xml:space="preserve"> </w:t>
      </w:r>
      <w:r w:rsidR="005F13D0" w:rsidRPr="004105A1">
        <w:rPr>
          <w:rFonts w:ascii="Arial" w:hAnsi="Arial" w:cs="Arial"/>
          <w:bCs/>
        </w:rPr>
        <w:t>beneficiaries.</w:t>
      </w:r>
    </w:p>
    <w:p w:rsidR="00C024FF" w:rsidRPr="00050B24" w:rsidRDefault="00C024FF" w:rsidP="00C024FF">
      <w:pPr>
        <w:pStyle w:val="NoSpacing"/>
        <w:jc w:val="both"/>
        <w:rPr>
          <w:rFonts w:ascii="Arial" w:hAnsi="Arial" w:cs="Arial"/>
          <w:bCs/>
        </w:rPr>
      </w:pPr>
    </w:p>
    <w:p w:rsidR="005E677D" w:rsidRPr="00025398" w:rsidRDefault="00C01BAA" w:rsidP="005E677D">
      <w:pPr>
        <w:pStyle w:val="ListParagraph"/>
        <w:numPr>
          <w:ilvl w:val="0"/>
          <w:numId w:val="12"/>
        </w:numPr>
        <w:spacing w:after="0" w:afterAutospacing="0"/>
        <w:ind w:left="0" w:firstLine="0"/>
        <w:jc w:val="both"/>
        <w:rPr>
          <w:rFonts w:ascii="Arial" w:hAnsi="Arial" w:cs="Arial"/>
          <w:bCs/>
        </w:rPr>
      </w:pPr>
      <w:r w:rsidRPr="00C01BAA">
        <w:rPr>
          <w:rFonts w:ascii="Arial" w:hAnsi="Arial" w:cs="Arial"/>
          <w:bCs/>
        </w:rPr>
        <w:t>Only P112.788 million or 34 per cent were collected during the year, out of the P331.770 million due for collections in CY 2019 representing loans granted to farmer-beneficiaries in NTA Pangasinan, Abra, Vigan and La Union BOs, showing low collection efficiency.  Thus, NTA was deprived of additional funds for its operations for the attainment of its mandate.  Moreover, in Cagayan BO, the significant decline in collection efficiency by 39.39 per cent, specifically on the Rice Production Project</w:t>
      </w:r>
      <w:r w:rsidR="00152422">
        <w:rPr>
          <w:rFonts w:ascii="Arial" w:hAnsi="Arial" w:cs="Arial"/>
          <w:bCs/>
        </w:rPr>
        <w:t xml:space="preserve"> </w:t>
      </w:r>
      <w:r w:rsidRPr="00C01BAA">
        <w:rPr>
          <w:rFonts w:ascii="Arial" w:hAnsi="Arial" w:cs="Arial"/>
          <w:bCs/>
        </w:rPr>
        <w:t xml:space="preserve">under the Integrated Farming and Other Income Generating Project, was due to the change of type of loan from cash to fertilizer </w:t>
      </w:r>
      <w:r w:rsidR="005E677D" w:rsidRPr="00C01BAA">
        <w:rPr>
          <w:rFonts w:ascii="Arial" w:hAnsi="Arial" w:cs="Arial"/>
          <w:bCs/>
        </w:rPr>
        <w:t>distribution.</w:t>
      </w:r>
    </w:p>
    <w:p w:rsidR="00FC67BC" w:rsidRPr="00025398" w:rsidRDefault="00FC67BC" w:rsidP="00DA0A54">
      <w:pPr>
        <w:pStyle w:val="ListParagraph"/>
        <w:spacing w:after="0" w:afterAutospacing="0"/>
        <w:ind w:left="0"/>
        <w:jc w:val="both"/>
        <w:rPr>
          <w:rFonts w:ascii="Arial" w:hAnsi="Arial" w:cs="Arial"/>
          <w:bCs/>
        </w:rPr>
      </w:pPr>
    </w:p>
    <w:p w:rsidR="00152422" w:rsidRPr="00C01BAA" w:rsidRDefault="00152422" w:rsidP="00DA0A54">
      <w:pPr>
        <w:pStyle w:val="ListParagraph"/>
        <w:spacing w:after="0" w:afterAutospacing="0"/>
        <w:ind w:left="0"/>
        <w:jc w:val="both"/>
        <w:rPr>
          <w:rFonts w:ascii="Arial" w:hAnsi="Arial" w:cs="Arial"/>
          <w:bCs/>
        </w:rPr>
      </w:pPr>
    </w:p>
    <w:p w:rsidR="005E677D" w:rsidRPr="005E677D" w:rsidRDefault="005E677D" w:rsidP="00DA0A54">
      <w:pPr>
        <w:pStyle w:val="NoSpacing"/>
        <w:numPr>
          <w:ilvl w:val="1"/>
          <w:numId w:val="30"/>
        </w:numPr>
        <w:tabs>
          <w:tab w:val="left" w:pos="720"/>
        </w:tabs>
        <w:ind w:left="0" w:firstLine="0"/>
        <w:jc w:val="both"/>
        <w:rPr>
          <w:rFonts w:ascii="Arial" w:hAnsi="Arial" w:cs="Arial"/>
          <w:bCs/>
        </w:rPr>
      </w:pPr>
      <w:r w:rsidRPr="005E677D">
        <w:rPr>
          <w:rFonts w:ascii="Arial" w:hAnsi="Arial" w:cs="Arial"/>
          <w:bCs/>
        </w:rPr>
        <w:lastRenderedPageBreak/>
        <w:t>We recommended that Management:</w:t>
      </w:r>
    </w:p>
    <w:p w:rsidR="005E677D" w:rsidRPr="005E677D" w:rsidRDefault="005E677D" w:rsidP="005E677D">
      <w:pPr>
        <w:pStyle w:val="NoSpacing"/>
        <w:ind w:firstLine="720"/>
        <w:jc w:val="both"/>
        <w:rPr>
          <w:rFonts w:ascii="Arial" w:hAnsi="Arial" w:cs="Arial"/>
          <w:bCs/>
        </w:rPr>
      </w:pPr>
    </w:p>
    <w:p w:rsidR="005E677D" w:rsidRPr="005E677D" w:rsidRDefault="005E677D" w:rsidP="005E677D">
      <w:pPr>
        <w:pStyle w:val="NoSpacing"/>
        <w:numPr>
          <w:ilvl w:val="0"/>
          <w:numId w:val="29"/>
        </w:numPr>
        <w:tabs>
          <w:tab w:val="left" w:pos="1260"/>
        </w:tabs>
        <w:ind w:left="720" w:firstLine="0"/>
        <w:jc w:val="both"/>
        <w:rPr>
          <w:rFonts w:ascii="Arial" w:hAnsi="Arial" w:cs="Arial"/>
          <w:bCs/>
        </w:rPr>
      </w:pPr>
      <w:r w:rsidRPr="005E677D">
        <w:rPr>
          <w:rFonts w:ascii="Arial" w:hAnsi="Arial" w:cs="Arial"/>
          <w:bCs/>
        </w:rPr>
        <w:t>Limit the loans to be extended to viable projects;</w:t>
      </w:r>
    </w:p>
    <w:p w:rsidR="005E677D" w:rsidRPr="005E677D" w:rsidRDefault="005E677D" w:rsidP="005E677D">
      <w:pPr>
        <w:pStyle w:val="NoSpacing"/>
        <w:tabs>
          <w:tab w:val="left" w:pos="1260"/>
        </w:tabs>
        <w:ind w:left="720"/>
        <w:jc w:val="both"/>
        <w:rPr>
          <w:rFonts w:ascii="Arial" w:hAnsi="Arial" w:cs="Arial"/>
          <w:bCs/>
        </w:rPr>
      </w:pPr>
    </w:p>
    <w:p w:rsidR="005E677D" w:rsidRPr="005E677D" w:rsidRDefault="005E677D" w:rsidP="005E677D">
      <w:pPr>
        <w:pStyle w:val="NoSpacing"/>
        <w:numPr>
          <w:ilvl w:val="0"/>
          <w:numId w:val="29"/>
        </w:numPr>
        <w:tabs>
          <w:tab w:val="left" w:pos="1260"/>
        </w:tabs>
        <w:ind w:left="720" w:firstLine="0"/>
        <w:jc w:val="both"/>
        <w:rPr>
          <w:rFonts w:ascii="Arial" w:hAnsi="Arial" w:cs="Arial"/>
          <w:bCs/>
        </w:rPr>
      </w:pPr>
      <w:r w:rsidRPr="005E677D">
        <w:rPr>
          <w:rFonts w:ascii="Arial" w:hAnsi="Arial" w:cs="Arial"/>
          <w:bCs/>
        </w:rPr>
        <w:t>Consider granting loans only to tobacco-farmers with good credit standing;</w:t>
      </w:r>
    </w:p>
    <w:p w:rsidR="005E677D" w:rsidRPr="005E677D" w:rsidRDefault="005E677D" w:rsidP="005E677D">
      <w:pPr>
        <w:pStyle w:val="NoSpacing"/>
        <w:tabs>
          <w:tab w:val="left" w:pos="1260"/>
        </w:tabs>
        <w:ind w:left="720"/>
        <w:jc w:val="both"/>
        <w:rPr>
          <w:rFonts w:ascii="Arial" w:hAnsi="Arial" w:cs="Arial"/>
          <w:bCs/>
        </w:rPr>
      </w:pPr>
    </w:p>
    <w:p w:rsidR="005E677D" w:rsidRPr="005E677D" w:rsidRDefault="005E677D" w:rsidP="005E677D">
      <w:pPr>
        <w:pStyle w:val="NoSpacing"/>
        <w:numPr>
          <w:ilvl w:val="0"/>
          <w:numId w:val="29"/>
        </w:numPr>
        <w:tabs>
          <w:tab w:val="left" w:pos="1260"/>
        </w:tabs>
        <w:ind w:left="720" w:firstLine="0"/>
        <w:jc w:val="both"/>
        <w:rPr>
          <w:rFonts w:ascii="Arial" w:hAnsi="Arial" w:cs="Arial"/>
          <w:bCs/>
        </w:rPr>
      </w:pPr>
      <w:r w:rsidRPr="005E677D">
        <w:rPr>
          <w:rFonts w:ascii="Arial" w:hAnsi="Arial" w:cs="Arial"/>
          <w:bCs/>
        </w:rPr>
        <w:t>Deduct from the proceeds of new loans the unpaid balances to prevent accumulation of arrearages;</w:t>
      </w:r>
    </w:p>
    <w:p w:rsidR="005E677D" w:rsidRPr="005E677D" w:rsidRDefault="005E677D" w:rsidP="005E677D">
      <w:pPr>
        <w:pStyle w:val="NoSpacing"/>
        <w:ind w:firstLine="720"/>
        <w:jc w:val="both"/>
        <w:rPr>
          <w:rFonts w:ascii="Arial" w:hAnsi="Arial" w:cs="Arial"/>
          <w:bCs/>
        </w:rPr>
      </w:pPr>
    </w:p>
    <w:p w:rsidR="005E677D" w:rsidRPr="005E677D" w:rsidRDefault="005E677D" w:rsidP="005E677D">
      <w:pPr>
        <w:pStyle w:val="NoSpacing"/>
        <w:numPr>
          <w:ilvl w:val="0"/>
          <w:numId w:val="29"/>
        </w:numPr>
        <w:tabs>
          <w:tab w:val="left" w:pos="1260"/>
        </w:tabs>
        <w:ind w:left="720" w:firstLine="0"/>
        <w:jc w:val="both"/>
        <w:rPr>
          <w:rFonts w:ascii="Arial" w:hAnsi="Arial" w:cs="Arial"/>
          <w:bCs/>
        </w:rPr>
      </w:pPr>
      <w:r w:rsidRPr="005E677D">
        <w:rPr>
          <w:rFonts w:ascii="Arial" w:hAnsi="Arial" w:cs="Arial"/>
          <w:bCs/>
        </w:rPr>
        <w:t>Intensify collection efforts by sending regular Statement of Accounts, then demand letters, either personally or through registered mail with return card;</w:t>
      </w:r>
    </w:p>
    <w:p w:rsidR="005E677D" w:rsidRPr="005E677D" w:rsidRDefault="005E677D" w:rsidP="005E677D">
      <w:pPr>
        <w:pStyle w:val="ListParagraph"/>
        <w:spacing w:after="0" w:afterAutospacing="0"/>
        <w:rPr>
          <w:rFonts w:ascii="Arial" w:hAnsi="Arial" w:cs="Arial"/>
          <w:bCs/>
        </w:rPr>
      </w:pPr>
    </w:p>
    <w:p w:rsidR="005E677D" w:rsidRPr="005E677D" w:rsidRDefault="005E677D" w:rsidP="005E677D">
      <w:pPr>
        <w:pStyle w:val="NoSpacing"/>
        <w:numPr>
          <w:ilvl w:val="0"/>
          <w:numId w:val="29"/>
        </w:numPr>
        <w:tabs>
          <w:tab w:val="left" w:pos="1260"/>
        </w:tabs>
        <w:ind w:left="720" w:firstLine="0"/>
        <w:jc w:val="both"/>
        <w:rPr>
          <w:rFonts w:ascii="Arial" w:hAnsi="Arial" w:cs="Arial"/>
          <w:bCs/>
        </w:rPr>
      </w:pPr>
      <w:r w:rsidRPr="005E677D">
        <w:rPr>
          <w:rFonts w:ascii="Arial" w:hAnsi="Arial" w:cs="Arial"/>
          <w:bCs/>
        </w:rPr>
        <w:t>Initiate legal action against defaulting farmer-beneficiaries with long overdue accounts, if no settlement made despite demand letters sent;</w:t>
      </w:r>
    </w:p>
    <w:p w:rsidR="005E677D" w:rsidRPr="005E677D" w:rsidRDefault="005E677D" w:rsidP="005E677D">
      <w:pPr>
        <w:pStyle w:val="NoSpacing"/>
        <w:jc w:val="both"/>
        <w:rPr>
          <w:rFonts w:ascii="Arial" w:hAnsi="Arial" w:cs="Arial"/>
          <w:bCs/>
        </w:rPr>
      </w:pPr>
    </w:p>
    <w:p w:rsidR="005E677D" w:rsidRPr="005E677D" w:rsidRDefault="005E677D" w:rsidP="005E677D">
      <w:pPr>
        <w:pStyle w:val="NoSpacing"/>
        <w:numPr>
          <w:ilvl w:val="0"/>
          <w:numId w:val="29"/>
        </w:numPr>
        <w:tabs>
          <w:tab w:val="left" w:pos="1260"/>
        </w:tabs>
        <w:ind w:left="720" w:firstLine="0"/>
        <w:jc w:val="both"/>
        <w:rPr>
          <w:rFonts w:ascii="Arial" w:hAnsi="Arial" w:cs="Arial"/>
          <w:bCs/>
        </w:rPr>
      </w:pPr>
      <w:r w:rsidRPr="005E677D">
        <w:rPr>
          <w:rFonts w:ascii="Arial" w:hAnsi="Arial" w:cs="Arial"/>
          <w:bCs/>
        </w:rPr>
        <w:t xml:space="preserve">Consider granting loan in cash to enable the farmer-beneficiaries to immediately procure the fertilizers necessary for their farmlands and crops; and </w:t>
      </w:r>
    </w:p>
    <w:p w:rsidR="005E677D" w:rsidRPr="005E677D" w:rsidRDefault="005E677D" w:rsidP="005E677D">
      <w:pPr>
        <w:pStyle w:val="NoSpacing"/>
        <w:tabs>
          <w:tab w:val="left" w:pos="1260"/>
        </w:tabs>
        <w:jc w:val="both"/>
        <w:rPr>
          <w:rFonts w:ascii="Arial" w:hAnsi="Arial" w:cs="Arial"/>
          <w:bCs/>
        </w:rPr>
      </w:pPr>
    </w:p>
    <w:p w:rsidR="005E677D" w:rsidRPr="005E677D" w:rsidRDefault="005E677D" w:rsidP="005E677D">
      <w:pPr>
        <w:pStyle w:val="NoSpacing"/>
        <w:numPr>
          <w:ilvl w:val="0"/>
          <w:numId w:val="29"/>
        </w:numPr>
        <w:tabs>
          <w:tab w:val="left" w:pos="1260"/>
        </w:tabs>
        <w:ind w:left="720" w:firstLine="0"/>
        <w:jc w:val="both"/>
        <w:rPr>
          <w:rFonts w:ascii="Arial" w:hAnsi="Arial" w:cs="Arial"/>
          <w:bCs/>
        </w:rPr>
      </w:pPr>
      <w:r w:rsidRPr="005E677D">
        <w:rPr>
          <w:rFonts w:ascii="Arial" w:hAnsi="Arial" w:cs="Arial"/>
          <w:bCs/>
        </w:rPr>
        <w:t>Monitor and evaluate the financial activities of BOs and ensure that accounting procedures and control measures are in place to attain a higher collection efficiency rate of loans receivable.</w:t>
      </w:r>
    </w:p>
    <w:p w:rsidR="00396FB6" w:rsidRDefault="00396FB6" w:rsidP="005A3B4D">
      <w:pPr>
        <w:pStyle w:val="NoSpacing"/>
        <w:jc w:val="both"/>
        <w:rPr>
          <w:rFonts w:ascii="Arial" w:hAnsi="Arial" w:cs="Arial"/>
          <w:color w:val="000000"/>
          <w:sz w:val="20"/>
        </w:rPr>
      </w:pPr>
    </w:p>
    <w:p w:rsidR="00396FB6" w:rsidRPr="00050B24" w:rsidRDefault="00396FB6" w:rsidP="005A3B4D">
      <w:pPr>
        <w:pStyle w:val="NoSpacing"/>
        <w:jc w:val="both"/>
        <w:rPr>
          <w:rFonts w:ascii="Arial" w:hAnsi="Arial" w:cs="Arial"/>
          <w:color w:val="000000"/>
          <w:sz w:val="20"/>
        </w:rPr>
      </w:pPr>
    </w:p>
    <w:p w:rsidR="00546748" w:rsidRPr="00072FAB" w:rsidRDefault="00FB05FB" w:rsidP="00546748">
      <w:pPr>
        <w:pStyle w:val="NoSpacing"/>
        <w:jc w:val="both"/>
        <w:rPr>
          <w:rFonts w:ascii="Arial" w:hAnsi="Arial" w:cs="Arial"/>
          <w:b/>
        </w:rPr>
      </w:pPr>
      <w:r w:rsidRPr="00072FAB">
        <w:rPr>
          <w:rFonts w:ascii="Arial" w:hAnsi="Arial" w:cs="Arial"/>
          <w:b/>
        </w:rPr>
        <w:t>AUDIT DISALLOWANCES, CHARGES AND SUSPENSIONS</w:t>
      </w:r>
    </w:p>
    <w:p w:rsidR="00FB05FB" w:rsidRPr="00072FAB" w:rsidRDefault="00FB05FB" w:rsidP="00546748">
      <w:pPr>
        <w:pStyle w:val="NoSpacing"/>
        <w:jc w:val="both"/>
        <w:rPr>
          <w:rFonts w:ascii="Arial" w:hAnsi="Arial" w:cs="Arial"/>
          <w:b/>
          <w:sz w:val="20"/>
        </w:rPr>
      </w:pPr>
    </w:p>
    <w:p w:rsidR="00546748" w:rsidRPr="000D1F78" w:rsidRDefault="00FB05FB" w:rsidP="00546748">
      <w:pPr>
        <w:pStyle w:val="NoSpacing"/>
        <w:jc w:val="both"/>
        <w:rPr>
          <w:rFonts w:ascii="Arial" w:hAnsi="Arial" w:cs="Arial"/>
          <w:color w:val="000000"/>
        </w:rPr>
      </w:pPr>
      <w:r w:rsidRPr="000D1F78">
        <w:rPr>
          <w:rFonts w:ascii="Arial" w:hAnsi="Arial" w:cs="Arial"/>
          <w:color w:val="000000"/>
        </w:rPr>
        <w:t>As of December 31, 201</w:t>
      </w:r>
      <w:r w:rsidR="00072FAB" w:rsidRPr="000D1F78">
        <w:rPr>
          <w:rFonts w:ascii="Arial" w:hAnsi="Arial" w:cs="Arial"/>
          <w:color w:val="000000"/>
        </w:rPr>
        <w:t>9</w:t>
      </w:r>
      <w:r w:rsidRPr="000D1F78">
        <w:rPr>
          <w:rFonts w:ascii="Arial" w:hAnsi="Arial" w:cs="Arial"/>
          <w:color w:val="000000"/>
        </w:rPr>
        <w:t xml:space="preserve">, total unsettled audit disallowances, </w:t>
      </w:r>
      <w:r w:rsidR="00B24DBC" w:rsidRPr="000D1F78">
        <w:rPr>
          <w:rFonts w:ascii="Arial" w:hAnsi="Arial" w:cs="Arial"/>
          <w:color w:val="000000"/>
        </w:rPr>
        <w:t>charge</w:t>
      </w:r>
      <w:r w:rsidR="00B24DBC">
        <w:rPr>
          <w:rFonts w:ascii="Arial" w:hAnsi="Arial" w:cs="Arial"/>
          <w:color w:val="000000"/>
        </w:rPr>
        <w:t xml:space="preserve"> and </w:t>
      </w:r>
      <w:r w:rsidR="00A83FFF">
        <w:rPr>
          <w:rFonts w:ascii="Arial" w:hAnsi="Arial" w:cs="Arial"/>
          <w:color w:val="000000"/>
        </w:rPr>
        <w:t xml:space="preserve">suspension </w:t>
      </w:r>
      <w:r w:rsidRPr="000D1F78">
        <w:rPr>
          <w:rFonts w:ascii="Arial" w:hAnsi="Arial" w:cs="Arial"/>
          <w:color w:val="000000"/>
        </w:rPr>
        <w:t>amounted to P3</w:t>
      </w:r>
      <w:r w:rsidR="00072FAB" w:rsidRPr="000D1F78">
        <w:rPr>
          <w:rFonts w:ascii="Arial" w:hAnsi="Arial" w:cs="Arial"/>
          <w:color w:val="000000"/>
        </w:rPr>
        <w:t>0</w:t>
      </w:r>
      <w:r w:rsidRPr="000D1F78">
        <w:rPr>
          <w:rFonts w:ascii="Arial" w:hAnsi="Arial" w:cs="Arial"/>
          <w:color w:val="000000"/>
        </w:rPr>
        <w:t>.</w:t>
      </w:r>
      <w:r w:rsidR="00072FAB" w:rsidRPr="000D1F78">
        <w:rPr>
          <w:rFonts w:ascii="Arial" w:hAnsi="Arial" w:cs="Arial"/>
          <w:color w:val="000000"/>
        </w:rPr>
        <w:t>591</w:t>
      </w:r>
      <w:r w:rsidRPr="000D1F78">
        <w:rPr>
          <w:rFonts w:ascii="Arial" w:hAnsi="Arial" w:cs="Arial"/>
          <w:color w:val="000000"/>
        </w:rPr>
        <w:t xml:space="preserve"> million, </w:t>
      </w:r>
      <w:r w:rsidR="00B24DBC" w:rsidRPr="000D1F78">
        <w:rPr>
          <w:rFonts w:ascii="Arial" w:hAnsi="Arial" w:cs="Arial"/>
          <w:color w:val="000000"/>
        </w:rPr>
        <w:t>P54,280</w:t>
      </w:r>
      <w:r w:rsidR="00B24DBC">
        <w:rPr>
          <w:rFonts w:ascii="Arial" w:hAnsi="Arial" w:cs="Arial"/>
          <w:color w:val="000000"/>
        </w:rPr>
        <w:t xml:space="preserve"> </w:t>
      </w:r>
      <w:r w:rsidR="00A83FFF">
        <w:rPr>
          <w:rFonts w:ascii="Arial" w:hAnsi="Arial" w:cs="Arial"/>
          <w:color w:val="000000"/>
        </w:rPr>
        <w:t xml:space="preserve">and </w:t>
      </w:r>
      <w:r w:rsidR="00B24DBC" w:rsidRPr="000D1F78">
        <w:rPr>
          <w:rFonts w:ascii="Arial" w:hAnsi="Arial" w:cs="Arial"/>
          <w:color w:val="000000"/>
        </w:rPr>
        <w:t>P128.408</w:t>
      </w:r>
      <w:r w:rsidR="00B24DBC">
        <w:rPr>
          <w:rFonts w:ascii="Arial" w:hAnsi="Arial" w:cs="Arial"/>
          <w:color w:val="000000"/>
        </w:rPr>
        <w:t xml:space="preserve"> </w:t>
      </w:r>
      <w:r w:rsidR="00B24DBC" w:rsidRPr="000D1F78">
        <w:rPr>
          <w:rFonts w:ascii="Arial" w:hAnsi="Arial" w:cs="Arial"/>
          <w:color w:val="000000"/>
        </w:rPr>
        <w:t>million</w:t>
      </w:r>
      <w:r w:rsidRPr="000D1F78">
        <w:rPr>
          <w:rFonts w:ascii="Arial" w:hAnsi="Arial" w:cs="Arial"/>
          <w:color w:val="000000"/>
        </w:rPr>
        <w:t xml:space="preserve">, respectively. </w:t>
      </w:r>
      <w:r w:rsidR="00DE06F9">
        <w:rPr>
          <w:rFonts w:ascii="Arial" w:hAnsi="Arial" w:cs="Arial"/>
          <w:color w:val="000000"/>
        </w:rPr>
        <w:t xml:space="preserve"> </w:t>
      </w:r>
      <w:r w:rsidRPr="000D1F78">
        <w:rPr>
          <w:rFonts w:ascii="Arial" w:hAnsi="Arial" w:cs="Arial"/>
          <w:color w:val="000000"/>
        </w:rPr>
        <w:t xml:space="preserve">Of the total </w:t>
      </w:r>
      <w:r w:rsidR="00C47F7F" w:rsidRPr="000D1F78">
        <w:rPr>
          <w:rFonts w:ascii="Arial" w:hAnsi="Arial" w:cs="Arial"/>
          <w:color w:val="000000"/>
        </w:rPr>
        <w:t>49</w:t>
      </w:r>
      <w:r w:rsidRPr="000D1F78">
        <w:rPr>
          <w:rFonts w:ascii="Arial" w:hAnsi="Arial" w:cs="Arial"/>
          <w:color w:val="000000"/>
        </w:rPr>
        <w:t xml:space="preserve"> </w:t>
      </w:r>
      <w:r w:rsidR="0095073C" w:rsidRPr="000D1F78">
        <w:rPr>
          <w:rFonts w:ascii="Arial" w:hAnsi="Arial" w:cs="Arial"/>
          <w:color w:val="000000"/>
        </w:rPr>
        <w:t>Notices of Disallowances (</w:t>
      </w:r>
      <w:r w:rsidRPr="000D1F78">
        <w:rPr>
          <w:rFonts w:ascii="Arial" w:hAnsi="Arial" w:cs="Arial"/>
          <w:color w:val="000000"/>
        </w:rPr>
        <w:t>NDs</w:t>
      </w:r>
      <w:r w:rsidR="0095073C" w:rsidRPr="000D1F78">
        <w:rPr>
          <w:rFonts w:ascii="Arial" w:hAnsi="Arial" w:cs="Arial"/>
          <w:color w:val="000000"/>
        </w:rPr>
        <w:t>)</w:t>
      </w:r>
      <w:r w:rsidRPr="000D1F78">
        <w:rPr>
          <w:rFonts w:ascii="Arial" w:hAnsi="Arial" w:cs="Arial"/>
          <w:color w:val="000000"/>
        </w:rPr>
        <w:t xml:space="preserve">, </w:t>
      </w:r>
      <w:r w:rsidR="00C47F7F" w:rsidRPr="000D1F78">
        <w:rPr>
          <w:rFonts w:ascii="Arial" w:hAnsi="Arial" w:cs="Arial"/>
          <w:color w:val="000000"/>
        </w:rPr>
        <w:t>27</w:t>
      </w:r>
      <w:r w:rsidRPr="000D1F78">
        <w:rPr>
          <w:rFonts w:ascii="Arial" w:hAnsi="Arial" w:cs="Arial"/>
          <w:color w:val="000000"/>
        </w:rPr>
        <w:t xml:space="preserve"> were issued with Notices of Finality of Decision</w:t>
      </w:r>
      <w:r w:rsidR="00A83FFF">
        <w:rPr>
          <w:rFonts w:ascii="Arial" w:hAnsi="Arial" w:cs="Arial"/>
          <w:color w:val="000000"/>
        </w:rPr>
        <w:t xml:space="preserve"> </w:t>
      </w:r>
      <w:r w:rsidRPr="000D1F78">
        <w:rPr>
          <w:rFonts w:ascii="Arial" w:hAnsi="Arial" w:cs="Arial"/>
          <w:color w:val="000000"/>
        </w:rPr>
        <w:t>and COA Orders of Execution</w:t>
      </w:r>
      <w:r w:rsidR="00357CD6">
        <w:rPr>
          <w:rFonts w:ascii="Arial" w:hAnsi="Arial" w:cs="Arial"/>
          <w:color w:val="000000"/>
        </w:rPr>
        <w:t xml:space="preserve"> </w:t>
      </w:r>
      <w:r w:rsidRPr="004D4DD7">
        <w:rPr>
          <w:rFonts w:ascii="Arial" w:hAnsi="Arial" w:cs="Arial"/>
          <w:color w:val="000000"/>
        </w:rPr>
        <w:t xml:space="preserve">and </w:t>
      </w:r>
      <w:r w:rsidR="00C47F7F" w:rsidRPr="004D4DD7">
        <w:rPr>
          <w:rFonts w:ascii="Arial" w:hAnsi="Arial" w:cs="Arial"/>
          <w:color w:val="000000"/>
        </w:rPr>
        <w:t>t</w:t>
      </w:r>
      <w:r w:rsidR="00B53305" w:rsidRPr="004D4DD7">
        <w:rPr>
          <w:rFonts w:ascii="Arial" w:hAnsi="Arial" w:cs="Arial"/>
          <w:color w:val="000000"/>
        </w:rPr>
        <w:t>wo</w:t>
      </w:r>
      <w:r w:rsidRPr="004D4DD7">
        <w:rPr>
          <w:rFonts w:ascii="Arial" w:hAnsi="Arial" w:cs="Arial"/>
          <w:color w:val="000000"/>
        </w:rPr>
        <w:t xml:space="preserve"> NDs with partial settlement through payroll deduction.  </w:t>
      </w:r>
      <w:r w:rsidR="00C47F7F" w:rsidRPr="004D4DD7">
        <w:rPr>
          <w:rFonts w:ascii="Arial" w:hAnsi="Arial" w:cs="Arial"/>
          <w:color w:val="000000"/>
        </w:rPr>
        <w:t>Eight</w:t>
      </w:r>
      <w:r w:rsidRPr="004D4DD7">
        <w:rPr>
          <w:rFonts w:ascii="Arial" w:hAnsi="Arial" w:cs="Arial"/>
          <w:color w:val="000000"/>
        </w:rPr>
        <w:t xml:space="preserve"> NDs are under Appeal while 1</w:t>
      </w:r>
      <w:r w:rsidR="00B53305" w:rsidRPr="004D4DD7">
        <w:rPr>
          <w:rFonts w:ascii="Arial" w:hAnsi="Arial" w:cs="Arial"/>
          <w:color w:val="000000"/>
        </w:rPr>
        <w:t>2</w:t>
      </w:r>
      <w:r w:rsidRPr="004D4DD7">
        <w:rPr>
          <w:rFonts w:ascii="Arial" w:hAnsi="Arial" w:cs="Arial"/>
          <w:color w:val="000000"/>
        </w:rPr>
        <w:t xml:space="preserve"> with Petition for Review before the Commission Proper. </w:t>
      </w:r>
      <w:r w:rsidR="00DE06F9" w:rsidRPr="004D4DD7">
        <w:rPr>
          <w:rFonts w:ascii="Arial" w:hAnsi="Arial" w:cs="Arial"/>
          <w:color w:val="000000"/>
        </w:rPr>
        <w:t xml:space="preserve"> </w:t>
      </w:r>
      <w:r w:rsidRPr="004D4DD7">
        <w:rPr>
          <w:rFonts w:ascii="Arial" w:hAnsi="Arial" w:cs="Arial"/>
          <w:color w:val="000000"/>
        </w:rPr>
        <w:t>There w</w:t>
      </w:r>
      <w:r w:rsidR="00C47F7F" w:rsidRPr="004D4DD7">
        <w:rPr>
          <w:rFonts w:ascii="Arial" w:hAnsi="Arial" w:cs="Arial"/>
          <w:color w:val="000000"/>
        </w:rPr>
        <w:t>ere</w:t>
      </w:r>
      <w:r w:rsidRPr="004D4DD7">
        <w:rPr>
          <w:rFonts w:ascii="Arial" w:hAnsi="Arial" w:cs="Arial"/>
          <w:color w:val="000000"/>
        </w:rPr>
        <w:t xml:space="preserve"> partial settlement</w:t>
      </w:r>
      <w:r w:rsidR="00F04C3A">
        <w:rPr>
          <w:rFonts w:ascii="Arial" w:hAnsi="Arial" w:cs="Arial"/>
          <w:color w:val="000000"/>
        </w:rPr>
        <w:t>s</w:t>
      </w:r>
      <w:r w:rsidRPr="004D4DD7">
        <w:rPr>
          <w:rFonts w:ascii="Arial" w:hAnsi="Arial" w:cs="Arial"/>
          <w:color w:val="000000"/>
        </w:rPr>
        <w:t xml:space="preserve"> on</w:t>
      </w:r>
      <w:r w:rsidRPr="000D1F78">
        <w:rPr>
          <w:rFonts w:ascii="Arial" w:hAnsi="Arial" w:cs="Arial"/>
          <w:color w:val="000000"/>
        </w:rPr>
        <w:t xml:space="preserve"> the Notice of Charge</w:t>
      </w:r>
      <w:r w:rsidR="00C47F7F" w:rsidRPr="000D1F78">
        <w:rPr>
          <w:rFonts w:ascii="Arial" w:hAnsi="Arial" w:cs="Arial"/>
          <w:color w:val="000000"/>
        </w:rPr>
        <w:t xml:space="preserve"> and Notice of Suspension</w:t>
      </w:r>
      <w:r w:rsidRPr="000D1F78">
        <w:rPr>
          <w:rFonts w:ascii="Arial" w:hAnsi="Arial" w:cs="Arial"/>
          <w:color w:val="000000"/>
        </w:rPr>
        <w:t>.</w:t>
      </w:r>
      <w:r w:rsidR="007A20B6">
        <w:rPr>
          <w:rFonts w:ascii="Arial" w:hAnsi="Arial" w:cs="Arial"/>
          <w:color w:val="000000"/>
        </w:rPr>
        <w:t xml:space="preserve">  </w:t>
      </w:r>
      <w:r w:rsidR="00385CAE" w:rsidRPr="000D1F78">
        <w:rPr>
          <w:rFonts w:ascii="Arial" w:hAnsi="Arial" w:cs="Arial"/>
          <w:color w:val="000000"/>
        </w:rPr>
        <w:t xml:space="preserve">The details and status of the unsettled disallowances, charge and suspension are presented in Annex </w:t>
      </w:r>
      <w:r w:rsidR="00DE06F9">
        <w:rPr>
          <w:rFonts w:ascii="Arial" w:hAnsi="Arial" w:cs="Arial"/>
          <w:color w:val="000000"/>
        </w:rPr>
        <w:t>A</w:t>
      </w:r>
      <w:r w:rsidR="00385CAE" w:rsidRPr="000D1F78">
        <w:rPr>
          <w:rFonts w:ascii="Arial" w:hAnsi="Arial" w:cs="Arial"/>
          <w:color w:val="000000"/>
        </w:rPr>
        <w:t xml:space="preserve"> of this Report.</w:t>
      </w:r>
    </w:p>
    <w:p w:rsidR="00D37EDB" w:rsidRPr="000D1F78" w:rsidRDefault="00D37EDB" w:rsidP="00546748">
      <w:pPr>
        <w:pStyle w:val="NoSpacing"/>
        <w:jc w:val="both"/>
        <w:rPr>
          <w:rFonts w:ascii="Arial" w:hAnsi="Arial" w:cs="Arial"/>
          <w:color w:val="000000"/>
          <w:sz w:val="18"/>
        </w:rPr>
      </w:pPr>
    </w:p>
    <w:p w:rsidR="005E677D" w:rsidRPr="000D1F78" w:rsidRDefault="005E677D" w:rsidP="00546748">
      <w:pPr>
        <w:pStyle w:val="NoSpacing"/>
        <w:jc w:val="both"/>
        <w:rPr>
          <w:rFonts w:ascii="Arial" w:hAnsi="Arial" w:cs="Arial"/>
          <w:color w:val="000000"/>
          <w:sz w:val="18"/>
        </w:rPr>
      </w:pPr>
    </w:p>
    <w:p w:rsidR="00546748" w:rsidRPr="000D1F78" w:rsidRDefault="00546748" w:rsidP="00546748">
      <w:pPr>
        <w:pStyle w:val="NoSpacing"/>
        <w:jc w:val="both"/>
        <w:rPr>
          <w:rFonts w:ascii="Arial" w:hAnsi="Arial" w:cs="Arial"/>
          <w:b/>
          <w:color w:val="000000"/>
        </w:rPr>
      </w:pPr>
      <w:r w:rsidRPr="000D1F78">
        <w:rPr>
          <w:rFonts w:ascii="Arial" w:hAnsi="Arial" w:cs="Arial"/>
          <w:b/>
          <w:color w:val="000000"/>
        </w:rPr>
        <w:t>STATUS OF IMPLEMENTATION BY THE AUDITEE OF PRIOR YEARS’ AUDIT RECOMMENDATIONS</w:t>
      </w:r>
    </w:p>
    <w:p w:rsidR="005E677D" w:rsidRPr="000D1F78" w:rsidRDefault="005E677D" w:rsidP="00546748">
      <w:pPr>
        <w:pStyle w:val="NoSpacing"/>
        <w:jc w:val="both"/>
        <w:rPr>
          <w:rFonts w:ascii="Arial" w:hAnsi="Arial" w:cs="Arial"/>
          <w:color w:val="000000"/>
          <w:sz w:val="20"/>
        </w:rPr>
      </w:pPr>
    </w:p>
    <w:p w:rsidR="00546748" w:rsidRPr="000D1F78" w:rsidRDefault="00FB05FB" w:rsidP="00FB05FB">
      <w:pPr>
        <w:pStyle w:val="NoSpacing"/>
        <w:jc w:val="both"/>
        <w:rPr>
          <w:rFonts w:ascii="Arial" w:hAnsi="Arial" w:cs="Arial"/>
          <w:color w:val="000000"/>
        </w:rPr>
      </w:pPr>
      <w:r w:rsidRPr="000D1F78">
        <w:rPr>
          <w:rFonts w:ascii="Arial" w:hAnsi="Arial" w:cs="Arial"/>
          <w:color w:val="000000"/>
        </w:rPr>
        <w:t xml:space="preserve">Of the </w:t>
      </w:r>
      <w:r w:rsidR="00A0342A">
        <w:rPr>
          <w:rFonts w:ascii="Arial" w:hAnsi="Arial" w:cs="Arial"/>
          <w:color w:val="000000"/>
        </w:rPr>
        <w:t>48</w:t>
      </w:r>
      <w:r w:rsidR="00A0342A" w:rsidRPr="000D1F78">
        <w:rPr>
          <w:rFonts w:ascii="Arial" w:hAnsi="Arial" w:cs="Arial"/>
          <w:color w:val="000000"/>
        </w:rPr>
        <w:t xml:space="preserve"> </w:t>
      </w:r>
      <w:r w:rsidRPr="000D1F78">
        <w:rPr>
          <w:rFonts w:ascii="Arial" w:hAnsi="Arial" w:cs="Arial"/>
          <w:color w:val="000000"/>
        </w:rPr>
        <w:t xml:space="preserve">audit recommendations embodied in the Annual Audit Reports for </w:t>
      </w:r>
      <w:r w:rsidR="00F07157" w:rsidRPr="000D1F78">
        <w:rPr>
          <w:rFonts w:ascii="Arial" w:hAnsi="Arial" w:cs="Arial"/>
          <w:color w:val="000000"/>
        </w:rPr>
        <w:t>CYs</w:t>
      </w:r>
      <w:r w:rsidRPr="000D1F78">
        <w:rPr>
          <w:rFonts w:ascii="Arial" w:hAnsi="Arial" w:cs="Arial"/>
          <w:color w:val="000000"/>
        </w:rPr>
        <w:t xml:space="preserve"> 201</w:t>
      </w:r>
      <w:r w:rsidR="008D25BB" w:rsidRPr="000D1F78">
        <w:rPr>
          <w:rFonts w:ascii="Arial" w:hAnsi="Arial" w:cs="Arial"/>
          <w:color w:val="000000"/>
        </w:rPr>
        <w:t>8</w:t>
      </w:r>
      <w:r w:rsidRPr="000D1F78">
        <w:rPr>
          <w:rFonts w:ascii="Arial" w:hAnsi="Arial" w:cs="Arial"/>
          <w:color w:val="000000"/>
        </w:rPr>
        <w:t xml:space="preserve"> and prior years, </w:t>
      </w:r>
      <w:r w:rsidR="005E677D">
        <w:rPr>
          <w:rFonts w:ascii="Arial" w:hAnsi="Arial" w:cs="Arial"/>
          <w:color w:val="000000"/>
        </w:rPr>
        <w:t>1</w:t>
      </w:r>
      <w:r w:rsidR="00A0342A">
        <w:rPr>
          <w:rFonts w:ascii="Arial" w:hAnsi="Arial" w:cs="Arial"/>
          <w:color w:val="000000"/>
        </w:rPr>
        <w:t>0</w:t>
      </w:r>
      <w:r w:rsidRPr="000D1F78">
        <w:rPr>
          <w:rFonts w:ascii="Arial" w:hAnsi="Arial" w:cs="Arial"/>
          <w:color w:val="000000"/>
        </w:rPr>
        <w:t xml:space="preserve"> were fully implemented, thus, deleted and excluded in this </w:t>
      </w:r>
      <w:r w:rsidR="00B24DBC">
        <w:rPr>
          <w:rFonts w:ascii="Arial" w:hAnsi="Arial" w:cs="Arial"/>
          <w:color w:val="000000"/>
        </w:rPr>
        <w:t>Report</w:t>
      </w:r>
      <w:r w:rsidRPr="000D1F78">
        <w:rPr>
          <w:rFonts w:ascii="Arial" w:hAnsi="Arial" w:cs="Arial"/>
          <w:color w:val="000000"/>
        </w:rPr>
        <w:t xml:space="preserve">.  </w:t>
      </w:r>
      <w:r w:rsidR="00A0342A">
        <w:rPr>
          <w:rFonts w:ascii="Arial" w:hAnsi="Arial" w:cs="Arial"/>
          <w:color w:val="000000"/>
        </w:rPr>
        <w:t>S</w:t>
      </w:r>
      <w:r w:rsidR="00F11A2F">
        <w:rPr>
          <w:rFonts w:ascii="Arial" w:hAnsi="Arial" w:cs="Arial"/>
          <w:color w:val="000000"/>
        </w:rPr>
        <w:t xml:space="preserve">ix </w:t>
      </w:r>
      <w:r w:rsidR="00AB5E18">
        <w:rPr>
          <w:rFonts w:ascii="Arial" w:hAnsi="Arial" w:cs="Arial"/>
          <w:color w:val="000000"/>
        </w:rPr>
        <w:t>w</w:t>
      </w:r>
      <w:r w:rsidRPr="000D1F78">
        <w:rPr>
          <w:rFonts w:ascii="Arial" w:hAnsi="Arial" w:cs="Arial"/>
          <w:color w:val="000000"/>
        </w:rPr>
        <w:t>ere not implemented</w:t>
      </w:r>
      <w:r w:rsidR="00B71EF1">
        <w:rPr>
          <w:rFonts w:ascii="Arial" w:hAnsi="Arial" w:cs="Arial"/>
          <w:color w:val="000000"/>
        </w:rPr>
        <w:t>;</w:t>
      </w:r>
      <w:r w:rsidR="00A0342A">
        <w:rPr>
          <w:rFonts w:ascii="Arial" w:hAnsi="Arial" w:cs="Arial"/>
          <w:color w:val="000000"/>
        </w:rPr>
        <w:t xml:space="preserve"> </w:t>
      </w:r>
      <w:r w:rsidR="005E677D">
        <w:rPr>
          <w:rFonts w:ascii="Arial" w:hAnsi="Arial" w:cs="Arial"/>
          <w:color w:val="000000"/>
        </w:rPr>
        <w:t>3</w:t>
      </w:r>
      <w:r w:rsidR="00C815F5">
        <w:rPr>
          <w:rFonts w:ascii="Arial" w:hAnsi="Arial" w:cs="Arial"/>
          <w:color w:val="000000"/>
        </w:rPr>
        <w:t xml:space="preserve">0 </w:t>
      </w:r>
      <w:r w:rsidRPr="000D1F78">
        <w:rPr>
          <w:rFonts w:ascii="Arial" w:hAnsi="Arial" w:cs="Arial"/>
          <w:color w:val="000000"/>
        </w:rPr>
        <w:t>were partially implemented</w:t>
      </w:r>
      <w:r w:rsidR="00C73B96">
        <w:rPr>
          <w:rFonts w:ascii="Arial" w:hAnsi="Arial" w:cs="Arial"/>
        </w:rPr>
        <w:t>; and two were revised and reformulated to be more specific, measurable and doable</w:t>
      </w:r>
      <w:r w:rsidR="004D4DD7">
        <w:rPr>
          <w:rFonts w:ascii="Arial" w:hAnsi="Arial" w:cs="Arial"/>
          <w:color w:val="000000"/>
        </w:rPr>
        <w:t>.</w:t>
      </w:r>
      <w:r w:rsidR="00C73B96">
        <w:rPr>
          <w:rFonts w:ascii="Arial" w:hAnsi="Arial" w:cs="Arial"/>
          <w:color w:val="000000"/>
        </w:rPr>
        <w:t xml:space="preserve">  </w:t>
      </w:r>
      <w:r w:rsidR="00385CAE" w:rsidRPr="000D1F78">
        <w:rPr>
          <w:rFonts w:ascii="Arial" w:hAnsi="Arial" w:cs="Arial"/>
          <w:color w:val="000000"/>
        </w:rPr>
        <w:t xml:space="preserve">The details of the prior years’ audit recommendations are presented in Part III of this </w:t>
      </w:r>
      <w:r w:rsidR="00FF2A0E">
        <w:rPr>
          <w:rFonts w:ascii="Arial" w:hAnsi="Arial" w:cs="Arial"/>
          <w:color w:val="000000"/>
        </w:rPr>
        <w:t>R</w:t>
      </w:r>
      <w:r w:rsidR="00FF2A0E" w:rsidRPr="000D1F78">
        <w:rPr>
          <w:rFonts w:ascii="Arial" w:hAnsi="Arial" w:cs="Arial"/>
          <w:color w:val="000000"/>
        </w:rPr>
        <w:t>eport</w:t>
      </w:r>
      <w:r w:rsidR="00385CAE" w:rsidRPr="000D1F78">
        <w:rPr>
          <w:rFonts w:ascii="Arial" w:hAnsi="Arial" w:cs="Arial"/>
          <w:color w:val="000000"/>
        </w:rPr>
        <w:t>.</w:t>
      </w:r>
    </w:p>
    <w:p w:rsidR="008D25BB" w:rsidRDefault="008D25BB" w:rsidP="00FB05FB">
      <w:pPr>
        <w:pStyle w:val="NoSpacing"/>
        <w:jc w:val="both"/>
        <w:rPr>
          <w:rFonts w:ascii="Arial" w:hAnsi="Arial" w:cs="Arial"/>
          <w:color w:val="000000"/>
        </w:rPr>
      </w:pPr>
    </w:p>
    <w:p w:rsidR="005E677D" w:rsidRDefault="005E677D" w:rsidP="00FB05FB">
      <w:pPr>
        <w:pStyle w:val="NoSpacing"/>
        <w:jc w:val="both"/>
        <w:rPr>
          <w:rFonts w:ascii="Arial" w:hAnsi="Arial" w:cs="Arial"/>
          <w:color w:val="000000"/>
        </w:rPr>
      </w:pPr>
    </w:p>
    <w:sectPr w:rsidR="005E677D" w:rsidSect="00BB143A">
      <w:footerReference w:type="default" r:id="rId8"/>
      <w:pgSz w:w="12240" w:h="15840" w:code="1"/>
      <w:pgMar w:top="1440" w:right="1440" w:bottom="1440" w:left="1440" w:header="720" w:footer="720" w:gutter="72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B37" w:rsidRDefault="008C6B37">
      <w:pPr>
        <w:spacing w:after="0" w:line="240" w:lineRule="auto"/>
      </w:pPr>
      <w:r>
        <w:separator/>
      </w:r>
    </w:p>
  </w:endnote>
  <w:endnote w:type="continuationSeparator" w:id="0">
    <w:p w:rsidR="008C6B37" w:rsidRDefault="008C6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3A" w:rsidRPr="000D1F78" w:rsidRDefault="00AB3EAC">
    <w:pPr>
      <w:pStyle w:val="Footer"/>
      <w:jc w:val="right"/>
      <w:rPr>
        <w:color w:val="000000"/>
      </w:rPr>
    </w:pPr>
    <w:r w:rsidRPr="000D1F78">
      <w:rPr>
        <w:color w:val="000000"/>
      </w:rPr>
      <w:fldChar w:fldCharType="begin"/>
    </w:r>
    <w:r w:rsidR="004947E8" w:rsidRPr="000D1F78">
      <w:rPr>
        <w:color w:val="000000"/>
      </w:rPr>
      <w:instrText xml:space="preserve"> PAGE   \* MERGEFORMAT </w:instrText>
    </w:r>
    <w:r w:rsidRPr="000D1F78">
      <w:rPr>
        <w:color w:val="000000"/>
      </w:rPr>
      <w:fldChar w:fldCharType="separate"/>
    </w:r>
    <w:r w:rsidR="00786DC9">
      <w:rPr>
        <w:noProof/>
        <w:color w:val="000000"/>
      </w:rPr>
      <w:t>i</w:t>
    </w:r>
    <w:r w:rsidRPr="000D1F78">
      <w:rPr>
        <w:color w:val="000000"/>
      </w:rPr>
      <w:fldChar w:fldCharType="end"/>
    </w:r>
  </w:p>
  <w:p w:rsidR="00BB143A" w:rsidRDefault="00BB14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B37" w:rsidRDefault="008C6B37">
      <w:pPr>
        <w:spacing w:after="0" w:line="240" w:lineRule="auto"/>
      </w:pPr>
      <w:r>
        <w:separator/>
      </w:r>
    </w:p>
  </w:footnote>
  <w:footnote w:type="continuationSeparator" w:id="0">
    <w:p w:rsidR="008C6B37" w:rsidRDefault="008C6B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3FD8"/>
    <w:multiLevelType w:val="multilevel"/>
    <w:tmpl w:val="5F5E2CBA"/>
    <w:lvl w:ilvl="0">
      <w:start w:val="1"/>
      <w:numFmt w:val="decimal"/>
      <w:lvlText w:val="%1."/>
      <w:lvlJc w:val="left"/>
      <w:pPr>
        <w:ind w:left="720" w:hanging="360"/>
      </w:pPr>
      <w:rPr>
        <w:rFonts w:hint="default"/>
        <w:b w:val="0"/>
        <w:bCs/>
        <w:color w:val="auto"/>
      </w:rPr>
    </w:lvl>
    <w:lvl w:ilvl="1">
      <w:start w:val="1"/>
      <w:numFmt w:val="decimal"/>
      <w:lvlText w:val="3.%2"/>
      <w:lvlJc w:val="left"/>
      <w:pPr>
        <w:ind w:left="720" w:hanging="360"/>
      </w:pPr>
      <w:rPr>
        <w:rFonts w:hint="default"/>
        <w:b w:val="0"/>
        <w:i w:val="0"/>
        <w:color w:val="auto"/>
        <w:sz w:val="22"/>
        <w:szCs w:val="22"/>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6371F73"/>
    <w:multiLevelType w:val="hybridMultilevel"/>
    <w:tmpl w:val="650AAC5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AC97AB1"/>
    <w:multiLevelType w:val="hybridMultilevel"/>
    <w:tmpl w:val="4AC287E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B974C85"/>
    <w:multiLevelType w:val="hybridMultilevel"/>
    <w:tmpl w:val="DE2CFFBE"/>
    <w:lvl w:ilvl="0" w:tplc="F3A0FF4E">
      <w:start w:val="1"/>
      <w:numFmt w:val="lowerLetter"/>
      <w:lvlText w:val="%1."/>
      <w:lvlJc w:val="left"/>
      <w:pPr>
        <w:ind w:left="417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E78D7"/>
    <w:multiLevelType w:val="hybridMultilevel"/>
    <w:tmpl w:val="24FE9608"/>
    <w:lvl w:ilvl="0" w:tplc="417EDB64">
      <w:start w:val="1"/>
      <w:numFmt w:val="decimal"/>
      <w:lvlText w:val="%1."/>
      <w:lvlJc w:val="left"/>
      <w:pPr>
        <w:ind w:left="720" w:hanging="360"/>
      </w:pPr>
      <w:rPr>
        <w:rFonts w:ascii="Arial" w:hAnsi="Arial" w:cs="Arial" w:hint="default"/>
        <w:sz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8F47E0F"/>
    <w:multiLevelType w:val="hybridMultilevel"/>
    <w:tmpl w:val="D5825992"/>
    <w:lvl w:ilvl="0" w:tplc="F764701A">
      <w:start w:val="1"/>
      <w:numFmt w:val="lowerLetter"/>
      <w:lvlText w:val="%1."/>
      <w:lvlJc w:val="left"/>
      <w:pPr>
        <w:ind w:left="2138"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24F34618"/>
    <w:multiLevelType w:val="hybridMultilevel"/>
    <w:tmpl w:val="8F96EFFA"/>
    <w:lvl w:ilvl="0" w:tplc="9572E2EE">
      <w:start w:val="1"/>
      <w:numFmt w:val="lowerLetter"/>
      <w:lvlText w:val="%1."/>
      <w:lvlJc w:val="left"/>
      <w:pPr>
        <w:ind w:left="395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DE7F01"/>
    <w:multiLevelType w:val="hybridMultilevel"/>
    <w:tmpl w:val="6BC8397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2A694293"/>
    <w:multiLevelType w:val="hybridMultilevel"/>
    <w:tmpl w:val="09F44FE8"/>
    <w:lvl w:ilvl="0" w:tplc="6ED425E0">
      <w:start w:val="1"/>
      <w:numFmt w:val="decimal"/>
      <w:lvlText w:val="d.%1"/>
      <w:lvlJc w:val="left"/>
      <w:pPr>
        <w:ind w:left="5608" w:hanging="360"/>
      </w:pPr>
      <w:rPr>
        <w:rFonts w:hint="default"/>
      </w:rPr>
    </w:lvl>
    <w:lvl w:ilvl="1" w:tplc="70481A86">
      <w:start w:val="1"/>
      <w:numFmt w:val="lowerLetter"/>
      <w:lvlText w:val="%2."/>
      <w:lvlJc w:val="left"/>
      <w:pPr>
        <w:ind w:left="1440" w:hanging="360"/>
      </w:pPr>
      <w:rPr>
        <w:rFonts w:hint="default"/>
      </w:rPr>
    </w:lvl>
    <w:lvl w:ilvl="2" w:tplc="78F864EE">
      <w:start w:val="1"/>
      <w:numFmt w:val="lowerLetter"/>
      <w:lvlText w:val="%3."/>
      <w:lvlJc w:val="left"/>
      <w:pPr>
        <w:ind w:left="2520" w:hanging="5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DD2E98"/>
    <w:multiLevelType w:val="hybridMultilevel"/>
    <w:tmpl w:val="81E22E98"/>
    <w:lvl w:ilvl="0" w:tplc="C0EA55DC">
      <w:start w:val="1"/>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73765AC"/>
    <w:multiLevelType w:val="multilevel"/>
    <w:tmpl w:val="3FD8A16E"/>
    <w:lvl w:ilvl="0">
      <w:start w:val="1"/>
      <w:numFmt w:val="decimal"/>
      <w:lvlText w:val="%1."/>
      <w:lvlJc w:val="left"/>
      <w:pPr>
        <w:ind w:left="720" w:hanging="360"/>
      </w:pPr>
      <w:rPr>
        <w:rFonts w:hint="default"/>
        <w:b w:val="0"/>
        <w:bCs/>
        <w:color w:val="auto"/>
      </w:rPr>
    </w:lvl>
    <w:lvl w:ilvl="1">
      <w:start w:val="1"/>
      <w:numFmt w:val="decimal"/>
      <w:lvlText w:val="1.%2"/>
      <w:lvlJc w:val="left"/>
      <w:pPr>
        <w:ind w:left="720" w:hanging="360"/>
      </w:pPr>
      <w:rPr>
        <w:rFonts w:hint="default"/>
        <w:b w:val="0"/>
        <w:i w:val="0"/>
        <w:color w:val="auto"/>
        <w:sz w:val="22"/>
        <w:szCs w:val="22"/>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1" w15:restartNumberingAfterBreak="0">
    <w:nsid w:val="40553F4E"/>
    <w:multiLevelType w:val="hybridMultilevel"/>
    <w:tmpl w:val="CDF4857A"/>
    <w:lvl w:ilvl="0" w:tplc="E7AA24D6">
      <w:start w:val="1"/>
      <w:numFmt w:val="lowerLetter"/>
      <w:lvlText w:val="%1."/>
      <w:lvlJc w:val="left"/>
      <w:pPr>
        <w:ind w:left="19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D2317"/>
    <w:multiLevelType w:val="hybridMultilevel"/>
    <w:tmpl w:val="F6782244"/>
    <w:lvl w:ilvl="0" w:tplc="45FAE40A">
      <w:start w:val="1"/>
      <w:numFmt w:val="decimal"/>
      <w:lvlText w:val="3.%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4C2B581D"/>
    <w:multiLevelType w:val="hybridMultilevel"/>
    <w:tmpl w:val="5F942742"/>
    <w:lvl w:ilvl="0" w:tplc="98F8F158">
      <w:start w:val="1"/>
      <w:numFmt w:val="decimal"/>
      <w:lvlText w:val="4.%1"/>
      <w:lvlJc w:val="left"/>
      <w:pPr>
        <w:ind w:left="720" w:hanging="360"/>
      </w:pPr>
      <w:rPr>
        <w:rFonts w:hint="default"/>
        <w:color w:val="00000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4FE01215"/>
    <w:multiLevelType w:val="hybridMultilevel"/>
    <w:tmpl w:val="C8E0C586"/>
    <w:lvl w:ilvl="0" w:tplc="34090019">
      <w:start w:val="1"/>
      <w:numFmt w:val="lowerLetter"/>
      <w:lvlText w:val="%1."/>
      <w:lvlJc w:val="left"/>
      <w:pPr>
        <w:ind w:left="1070" w:hanging="360"/>
      </w:pPr>
      <w:rPr>
        <w:rFonts w:hint="default"/>
      </w:rPr>
    </w:lvl>
    <w:lvl w:ilvl="1" w:tplc="34090019" w:tentative="1">
      <w:start w:val="1"/>
      <w:numFmt w:val="lowerLetter"/>
      <w:lvlText w:val="%2."/>
      <w:lvlJc w:val="left"/>
      <w:pPr>
        <w:ind w:left="1790" w:hanging="360"/>
      </w:pPr>
    </w:lvl>
    <w:lvl w:ilvl="2" w:tplc="3409001B" w:tentative="1">
      <w:start w:val="1"/>
      <w:numFmt w:val="lowerRoman"/>
      <w:lvlText w:val="%3."/>
      <w:lvlJc w:val="right"/>
      <w:pPr>
        <w:ind w:left="2510" w:hanging="180"/>
      </w:pPr>
    </w:lvl>
    <w:lvl w:ilvl="3" w:tplc="3409000F" w:tentative="1">
      <w:start w:val="1"/>
      <w:numFmt w:val="decimal"/>
      <w:lvlText w:val="%4."/>
      <w:lvlJc w:val="left"/>
      <w:pPr>
        <w:ind w:left="3230" w:hanging="360"/>
      </w:pPr>
    </w:lvl>
    <w:lvl w:ilvl="4" w:tplc="34090019" w:tentative="1">
      <w:start w:val="1"/>
      <w:numFmt w:val="lowerLetter"/>
      <w:lvlText w:val="%5."/>
      <w:lvlJc w:val="left"/>
      <w:pPr>
        <w:ind w:left="3950" w:hanging="360"/>
      </w:pPr>
    </w:lvl>
    <w:lvl w:ilvl="5" w:tplc="3409001B" w:tentative="1">
      <w:start w:val="1"/>
      <w:numFmt w:val="lowerRoman"/>
      <w:lvlText w:val="%6."/>
      <w:lvlJc w:val="right"/>
      <w:pPr>
        <w:ind w:left="4670" w:hanging="180"/>
      </w:pPr>
    </w:lvl>
    <w:lvl w:ilvl="6" w:tplc="3409000F" w:tentative="1">
      <w:start w:val="1"/>
      <w:numFmt w:val="decimal"/>
      <w:lvlText w:val="%7."/>
      <w:lvlJc w:val="left"/>
      <w:pPr>
        <w:ind w:left="5390" w:hanging="360"/>
      </w:pPr>
    </w:lvl>
    <w:lvl w:ilvl="7" w:tplc="34090019" w:tentative="1">
      <w:start w:val="1"/>
      <w:numFmt w:val="lowerLetter"/>
      <w:lvlText w:val="%8."/>
      <w:lvlJc w:val="left"/>
      <w:pPr>
        <w:ind w:left="6110" w:hanging="360"/>
      </w:pPr>
    </w:lvl>
    <w:lvl w:ilvl="8" w:tplc="3409001B" w:tentative="1">
      <w:start w:val="1"/>
      <w:numFmt w:val="lowerRoman"/>
      <w:lvlText w:val="%9."/>
      <w:lvlJc w:val="right"/>
      <w:pPr>
        <w:ind w:left="6830" w:hanging="180"/>
      </w:pPr>
    </w:lvl>
  </w:abstractNum>
  <w:abstractNum w:abstractNumId="15" w15:restartNumberingAfterBreak="0">
    <w:nsid w:val="53EA6D2F"/>
    <w:multiLevelType w:val="hybridMultilevel"/>
    <w:tmpl w:val="DECE2214"/>
    <w:lvl w:ilvl="0" w:tplc="6FE2C58A">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6" w15:restartNumberingAfterBreak="0">
    <w:nsid w:val="54840E1D"/>
    <w:multiLevelType w:val="hybridMultilevel"/>
    <w:tmpl w:val="3398BB6C"/>
    <w:lvl w:ilvl="0" w:tplc="0660DFC8">
      <w:start w:val="1"/>
      <w:numFmt w:val="lowerLetter"/>
      <w:lvlText w:val="%1."/>
      <w:lvlJc w:val="left"/>
      <w:pPr>
        <w:ind w:left="197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9B4804"/>
    <w:multiLevelType w:val="hybridMultilevel"/>
    <w:tmpl w:val="F3E67A9C"/>
    <w:lvl w:ilvl="0" w:tplc="B6E89A66">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5026C8"/>
    <w:multiLevelType w:val="hybridMultilevel"/>
    <w:tmpl w:val="194250AC"/>
    <w:lvl w:ilvl="0" w:tplc="08F04FD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8C774A"/>
    <w:multiLevelType w:val="hybridMultilevel"/>
    <w:tmpl w:val="A524F524"/>
    <w:lvl w:ilvl="0" w:tplc="3D94B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AEB424C"/>
    <w:multiLevelType w:val="hybridMultilevel"/>
    <w:tmpl w:val="1A2094A4"/>
    <w:lvl w:ilvl="0" w:tplc="2C74EBFC">
      <w:start w:val="1"/>
      <w:numFmt w:val="decimal"/>
      <w:lvlText w:val="2.%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5CAE42B7"/>
    <w:multiLevelType w:val="hybridMultilevel"/>
    <w:tmpl w:val="A88479FC"/>
    <w:lvl w:ilvl="0" w:tplc="2794D1E4">
      <w:start w:val="1"/>
      <w:numFmt w:val="lowerLetter"/>
      <w:lvlText w:val="%1."/>
      <w:lvlJc w:val="left"/>
      <w:pPr>
        <w:ind w:left="48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BB1F97"/>
    <w:multiLevelType w:val="hybridMultilevel"/>
    <w:tmpl w:val="59741D6C"/>
    <w:lvl w:ilvl="0" w:tplc="3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3" w15:restartNumberingAfterBreak="0">
    <w:nsid w:val="6C1C32A2"/>
    <w:multiLevelType w:val="hybridMultilevel"/>
    <w:tmpl w:val="504AB72C"/>
    <w:lvl w:ilvl="0" w:tplc="A6F21AEC">
      <w:start w:val="1"/>
      <w:numFmt w:val="lowerLetter"/>
      <w:lvlText w:val="%1."/>
      <w:lvlJc w:val="left"/>
      <w:pPr>
        <w:ind w:left="417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416E61"/>
    <w:multiLevelType w:val="hybridMultilevel"/>
    <w:tmpl w:val="8B663884"/>
    <w:lvl w:ilvl="0" w:tplc="2D264FDA">
      <w:start w:val="1"/>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357E56"/>
    <w:multiLevelType w:val="multilevel"/>
    <w:tmpl w:val="EA80AE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3F3775D"/>
    <w:multiLevelType w:val="hybridMultilevel"/>
    <w:tmpl w:val="F25EC706"/>
    <w:lvl w:ilvl="0" w:tplc="B91880E2">
      <w:start w:val="1"/>
      <w:numFmt w:val="lowerLetter"/>
      <w:lvlText w:val="%1."/>
      <w:lvlJc w:val="left"/>
      <w:pPr>
        <w:ind w:left="27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173483"/>
    <w:multiLevelType w:val="hybridMultilevel"/>
    <w:tmpl w:val="985A3EB2"/>
    <w:lvl w:ilvl="0" w:tplc="34090019">
      <w:start w:val="1"/>
      <w:numFmt w:val="lowerLetter"/>
      <w:lvlText w:val="%1."/>
      <w:lvlJc w:val="left"/>
      <w:pPr>
        <w:ind w:left="1446" w:hanging="360"/>
      </w:pPr>
      <w:rPr>
        <w:rFonts w:hint="default"/>
        <w:b w:val="0"/>
        <w:color w:val="000000"/>
      </w:rPr>
    </w:lvl>
    <w:lvl w:ilvl="1" w:tplc="34090019" w:tentative="1">
      <w:start w:val="1"/>
      <w:numFmt w:val="lowerLetter"/>
      <w:lvlText w:val="%2."/>
      <w:lvlJc w:val="left"/>
      <w:pPr>
        <w:ind w:left="2166" w:hanging="360"/>
      </w:pPr>
    </w:lvl>
    <w:lvl w:ilvl="2" w:tplc="3409001B" w:tentative="1">
      <w:start w:val="1"/>
      <w:numFmt w:val="lowerRoman"/>
      <w:lvlText w:val="%3."/>
      <w:lvlJc w:val="right"/>
      <w:pPr>
        <w:ind w:left="2886" w:hanging="180"/>
      </w:pPr>
    </w:lvl>
    <w:lvl w:ilvl="3" w:tplc="3409000F" w:tentative="1">
      <w:start w:val="1"/>
      <w:numFmt w:val="decimal"/>
      <w:lvlText w:val="%4."/>
      <w:lvlJc w:val="left"/>
      <w:pPr>
        <w:ind w:left="3606" w:hanging="360"/>
      </w:pPr>
    </w:lvl>
    <w:lvl w:ilvl="4" w:tplc="34090019" w:tentative="1">
      <w:start w:val="1"/>
      <w:numFmt w:val="lowerLetter"/>
      <w:lvlText w:val="%5."/>
      <w:lvlJc w:val="left"/>
      <w:pPr>
        <w:ind w:left="4326" w:hanging="360"/>
      </w:pPr>
    </w:lvl>
    <w:lvl w:ilvl="5" w:tplc="3409001B" w:tentative="1">
      <w:start w:val="1"/>
      <w:numFmt w:val="lowerRoman"/>
      <w:lvlText w:val="%6."/>
      <w:lvlJc w:val="right"/>
      <w:pPr>
        <w:ind w:left="5046" w:hanging="180"/>
      </w:pPr>
    </w:lvl>
    <w:lvl w:ilvl="6" w:tplc="3409000F" w:tentative="1">
      <w:start w:val="1"/>
      <w:numFmt w:val="decimal"/>
      <w:lvlText w:val="%7."/>
      <w:lvlJc w:val="left"/>
      <w:pPr>
        <w:ind w:left="5766" w:hanging="360"/>
      </w:pPr>
    </w:lvl>
    <w:lvl w:ilvl="7" w:tplc="34090019" w:tentative="1">
      <w:start w:val="1"/>
      <w:numFmt w:val="lowerLetter"/>
      <w:lvlText w:val="%8."/>
      <w:lvlJc w:val="left"/>
      <w:pPr>
        <w:ind w:left="6486" w:hanging="360"/>
      </w:pPr>
    </w:lvl>
    <w:lvl w:ilvl="8" w:tplc="3409001B" w:tentative="1">
      <w:start w:val="1"/>
      <w:numFmt w:val="lowerRoman"/>
      <w:lvlText w:val="%9."/>
      <w:lvlJc w:val="right"/>
      <w:pPr>
        <w:ind w:left="7206" w:hanging="180"/>
      </w:pPr>
    </w:lvl>
  </w:abstractNum>
  <w:abstractNum w:abstractNumId="28" w15:restartNumberingAfterBreak="0">
    <w:nsid w:val="7A347034"/>
    <w:multiLevelType w:val="hybridMultilevel"/>
    <w:tmpl w:val="6F14D910"/>
    <w:lvl w:ilvl="0" w:tplc="F3FA7D96">
      <w:start w:val="1"/>
      <w:numFmt w:val="lowerLetter"/>
      <w:lvlText w:val="%1."/>
      <w:lvlJc w:val="left"/>
      <w:pPr>
        <w:ind w:left="1500" w:hanging="360"/>
      </w:pPr>
      <w:rPr>
        <w:rFonts w:hint="default"/>
      </w:rPr>
    </w:lvl>
    <w:lvl w:ilvl="1" w:tplc="34090019">
      <w:start w:val="1"/>
      <w:numFmt w:val="lowerLetter"/>
      <w:lvlText w:val="%2."/>
      <w:lvlJc w:val="left"/>
      <w:pPr>
        <w:ind w:left="2220" w:hanging="360"/>
      </w:pPr>
    </w:lvl>
    <w:lvl w:ilvl="2" w:tplc="3409001B">
      <w:start w:val="1"/>
      <w:numFmt w:val="lowerRoman"/>
      <w:lvlText w:val="%3."/>
      <w:lvlJc w:val="right"/>
      <w:pPr>
        <w:ind w:left="2940" w:hanging="180"/>
      </w:pPr>
    </w:lvl>
    <w:lvl w:ilvl="3" w:tplc="3409000F">
      <w:start w:val="1"/>
      <w:numFmt w:val="decimal"/>
      <w:lvlText w:val="%4."/>
      <w:lvlJc w:val="left"/>
      <w:pPr>
        <w:ind w:left="3660" w:hanging="360"/>
      </w:pPr>
    </w:lvl>
    <w:lvl w:ilvl="4" w:tplc="34090019">
      <w:start w:val="1"/>
      <w:numFmt w:val="lowerLetter"/>
      <w:lvlText w:val="%5."/>
      <w:lvlJc w:val="left"/>
      <w:pPr>
        <w:ind w:left="4380" w:hanging="360"/>
      </w:pPr>
    </w:lvl>
    <w:lvl w:ilvl="5" w:tplc="3409001B">
      <w:start w:val="1"/>
      <w:numFmt w:val="lowerRoman"/>
      <w:lvlText w:val="%6."/>
      <w:lvlJc w:val="right"/>
      <w:pPr>
        <w:ind w:left="5100" w:hanging="180"/>
      </w:pPr>
    </w:lvl>
    <w:lvl w:ilvl="6" w:tplc="3409000F">
      <w:start w:val="1"/>
      <w:numFmt w:val="decimal"/>
      <w:lvlText w:val="%7."/>
      <w:lvlJc w:val="left"/>
      <w:pPr>
        <w:ind w:left="5820" w:hanging="360"/>
      </w:pPr>
    </w:lvl>
    <w:lvl w:ilvl="7" w:tplc="34090019">
      <w:start w:val="1"/>
      <w:numFmt w:val="lowerLetter"/>
      <w:lvlText w:val="%8."/>
      <w:lvlJc w:val="left"/>
      <w:pPr>
        <w:ind w:left="6540" w:hanging="360"/>
      </w:pPr>
    </w:lvl>
    <w:lvl w:ilvl="8" w:tplc="3409001B">
      <w:start w:val="1"/>
      <w:numFmt w:val="lowerRoman"/>
      <w:lvlText w:val="%9."/>
      <w:lvlJc w:val="right"/>
      <w:pPr>
        <w:ind w:left="7260" w:hanging="180"/>
      </w:pPr>
    </w:lvl>
  </w:abstractNum>
  <w:abstractNum w:abstractNumId="29" w15:restartNumberingAfterBreak="0">
    <w:nsid w:val="7B361D21"/>
    <w:multiLevelType w:val="hybridMultilevel"/>
    <w:tmpl w:val="7C22ADC8"/>
    <w:lvl w:ilvl="0" w:tplc="A5FAD0A6">
      <w:start w:val="1"/>
      <w:numFmt w:val="decimal"/>
      <w:lvlText w:val="1.%1"/>
      <w:lvlJc w:val="left"/>
      <w:pPr>
        <w:ind w:left="720" w:hanging="36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0"/>
  </w:num>
  <w:num w:numId="2">
    <w:abstractNumId w:val="27"/>
  </w:num>
  <w:num w:numId="3">
    <w:abstractNumId w:val="14"/>
  </w:num>
  <w:num w:numId="4">
    <w:abstractNumId w:val="22"/>
  </w:num>
  <w:num w:numId="5">
    <w:abstractNumId w:val="2"/>
  </w:num>
  <w:num w:numId="6">
    <w:abstractNumId w:val="13"/>
  </w:num>
  <w:num w:numId="7">
    <w:abstractNumId w:val="29"/>
  </w:num>
  <w:num w:numId="8">
    <w:abstractNumId w:val="7"/>
  </w:num>
  <w:num w:numId="9">
    <w:abstractNumId w:val="1"/>
  </w:num>
  <w:num w:numId="10">
    <w:abstractNumId w:val="4"/>
  </w:num>
  <w:num w:numId="11">
    <w:abstractNumId w:val="12"/>
  </w:num>
  <w:num w:numId="12">
    <w:abstractNumId w:val="0"/>
  </w:num>
  <w:num w:numId="13">
    <w:abstractNumId w:val="19"/>
  </w:num>
  <w:num w:numId="14">
    <w:abstractNumId w:val="18"/>
  </w:num>
  <w:num w:numId="15">
    <w:abstractNumId w:val="5"/>
  </w:num>
  <w:num w:numId="16">
    <w:abstractNumId w:val="23"/>
  </w:num>
  <w:num w:numId="17">
    <w:abstractNumId w:val="3"/>
  </w:num>
  <w:num w:numId="18">
    <w:abstractNumId w:val="21"/>
  </w:num>
  <w:num w:numId="19">
    <w:abstractNumId w:val="9"/>
  </w:num>
  <w:num w:numId="20">
    <w:abstractNumId w:val="11"/>
  </w:num>
  <w:num w:numId="21">
    <w:abstractNumId w:val="24"/>
  </w:num>
  <w:num w:numId="22">
    <w:abstractNumId w:val="8"/>
  </w:num>
  <w:num w:numId="23">
    <w:abstractNumId w:val="10"/>
  </w:num>
  <w:num w:numId="24">
    <w:abstractNumId w:val="16"/>
  </w:num>
  <w:num w:numId="25">
    <w:abstractNumId w:val="26"/>
  </w:num>
  <w:num w:numId="26">
    <w:abstractNumId w:val="28"/>
  </w:num>
  <w:num w:numId="27">
    <w:abstractNumId w:val="6"/>
  </w:num>
  <w:num w:numId="28">
    <w:abstractNumId w:val="17"/>
  </w:num>
  <w:num w:numId="29">
    <w:abstractNumId w:val="15"/>
  </w:num>
  <w:num w:numId="30">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rSPsAbiqo29GoylFoMe7ftYVM2KSk6sOsXvrrMf8U3DkZtmo/D/Ou5h3HAdaO8mdq6qH9rPut96SuCtcwTcFOA==" w:salt="hRda239yZbnygDEHsB8ul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7E8"/>
    <w:rsid w:val="0000136B"/>
    <w:rsid w:val="0002257E"/>
    <w:rsid w:val="00025398"/>
    <w:rsid w:val="0003116F"/>
    <w:rsid w:val="00037D18"/>
    <w:rsid w:val="000435A1"/>
    <w:rsid w:val="00050B24"/>
    <w:rsid w:val="000669D4"/>
    <w:rsid w:val="00067A91"/>
    <w:rsid w:val="00072FAB"/>
    <w:rsid w:val="000A0CFD"/>
    <w:rsid w:val="000C08A2"/>
    <w:rsid w:val="000C2A7A"/>
    <w:rsid w:val="000D1F78"/>
    <w:rsid w:val="000D533C"/>
    <w:rsid w:val="000E3F49"/>
    <w:rsid w:val="000F0DB6"/>
    <w:rsid w:val="0010055A"/>
    <w:rsid w:val="00110CFD"/>
    <w:rsid w:val="00122068"/>
    <w:rsid w:val="00127A72"/>
    <w:rsid w:val="001333A9"/>
    <w:rsid w:val="00152422"/>
    <w:rsid w:val="00155830"/>
    <w:rsid w:val="00156469"/>
    <w:rsid w:val="00157DC1"/>
    <w:rsid w:val="00162235"/>
    <w:rsid w:val="00176CEC"/>
    <w:rsid w:val="0019233D"/>
    <w:rsid w:val="001934F9"/>
    <w:rsid w:val="001C1CED"/>
    <w:rsid w:val="001D598B"/>
    <w:rsid w:val="001F7DD0"/>
    <w:rsid w:val="00200A8D"/>
    <w:rsid w:val="00214984"/>
    <w:rsid w:val="002333A9"/>
    <w:rsid w:val="0023414A"/>
    <w:rsid w:val="00235809"/>
    <w:rsid w:val="0023626F"/>
    <w:rsid w:val="00240C25"/>
    <w:rsid w:val="00242633"/>
    <w:rsid w:val="00242A56"/>
    <w:rsid w:val="00253CD6"/>
    <w:rsid w:val="00260C9C"/>
    <w:rsid w:val="002822EB"/>
    <w:rsid w:val="002940A8"/>
    <w:rsid w:val="002A3BEF"/>
    <w:rsid w:val="002A4E9F"/>
    <w:rsid w:val="002C047B"/>
    <w:rsid w:val="002D67F1"/>
    <w:rsid w:val="002F01CD"/>
    <w:rsid w:val="002F3430"/>
    <w:rsid w:val="002F3FA6"/>
    <w:rsid w:val="00303887"/>
    <w:rsid w:val="00307A4B"/>
    <w:rsid w:val="00317924"/>
    <w:rsid w:val="003228A6"/>
    <w:rsid w:val="00353BB9"/>
    <w:rsid w:val="00357CD6"/>
    <w:rsid w:val="00362B39"/>
    <w:rsid w:val="00372260"/>
    <w:rsid w:val="00385CAE"/>
    <w:rsid w:val="003922BA"/>
    <w:rsid w:val="00396FB6"/>
    <w:rsid w:val="003B773A"/>
    <w:rsid w:val="003D454C"/>
    <w:rsid w:val="003E155F"/>
    <w:rsid w:val="003F59C8"/>
    <w:rsid w:val="004057C7"/>
    <w:rsid w:val="00407C64"/>
    <w:rsid w:val="004105A1"/>
    <w:rsid w:val="0042434A"/>
    <w:rsid w:val="00426F2D"/>
    <w:rsid w:val="00430239"/>
    <w:rsid w:val="00432030"/>
    <w:rsid w:val="00461BE0"/>
    <w:rsid w:val="004646A0"/>
    <w:rsid w:val="00466CEB"/>
    <w:rsid w:val="00466D6D"/>
    <w:rsid w:val="00486C50"/>
    <w:rsid w:val="004947E8"/>
    <w:rsid w:val="004A6C96"/>
    <w:rsid w:val="004C696B"/>
    <w:rsid w:val="004D4DD7"/>
    <w:rsid w:val="004E6020"/>
    <w:rsid w:val="004F3A71"/>
    <w:rsid w:val="00503342"/>
    <w:rsid w:val="00505C72"/>
    <w:rsid w:val="0051713D"/>
    <w:rsid w:val="0052262C"/>
    <w:rsid w:val="00535C94"/>
    <w:rsid w:val="00546748"/>
    <w:rsid w:val="005515A2"/>
    <w:rsid w:val="00553CEB"/>
    <w:rsid w:val="00565AD3"/>
    <w:rsid w:val="005728DD"/>
    <w:rsid w:val="00590A8D"/>
    <w:rsid w:val="005A3B4D"/>
    <w:rsid w:val="005B313A"/>
    <w:rsid w:val="005B4B85"/>
    <w:rsid w:val="005B7C7A"/>
    <w:rsid w:val="005C0558"/>
    <w:rsid w:val="005C7F53"/>
    <w:rsid w:val="005D1550"/>
    <w:rsid w:val="005E677D"/>
    <w:rsid w:val="005F13D0"/>
    <w:rsid w:val="006019DF"/>
    <w:rsid w:val="0061061B"/>
    <w:rsid w:val="006114A8"/>
    <w:rsid w:val="00617001"/>
    <w:rsid w:val="0062272D"/>
    <w:rsid w:val="00650CE4"/>
    <w:rsid w:val="00685039"/>
    <w:rsid w:val="00691ECF"/>
    <w:rsid w:val="006B225A"/>
    <w:rsid w:val="006C5DDA"/>
    <w:rsid w:val="006D6577"/>
    <w:rsid w:val="006E5AFF"/>
    <w:rsid w:val="006E7524"/>
    <w:rsid w:val="0070654F"/>
    <w:rsid w:val="007140B0"/>
    <w:rsid w:val="0072531A"/>
    <w:rsid w:val="00726F63"/>
    <w:rsid w:val="00727E3A"/>
    <w:rsid w:val="007476E7"/>
    <w:rsid w:val="00761D44"/>
    <w:rsid w:val="00764DF4"/>
    <w:rsid w:val="00775B8A"/>
    <w:rsid w:val="00775BF0"/>
    <w:rsid w:val="00785D0C"/>
    <w:rsid w:val="00786DC9"/>
    <w:rsid w:val="00792A5F"/>
    <w:rsid w:val="007A20B6"/>
    <w:rsid w:val="007D5241"/>
    <w:rsid w:val="007F1B41"/>
    <w:rsid w:val="00831815"/>
    <w:rsid w:val="0083718F"/>
    <w:rsid w:val="00847AFB"/>
    <w:rsid w:val="00871771"/>
    <w:rsid w:val="00887A08"/>
    <w:rsid w:val="008B748C"/>
    <w:rsid w:val="008C10C9"/>
    <w:rsid w:val="008C51BB"/>
    <w:rsid w:val="008C6B37"/>
    <w:rsid w:val="008D25BB"/>
    <w:rsid w:val="009312F1"/>
    <w:rsid w:val="00943EAA"/>
    <w:rsid w:val="0095073C"/>
    <w:rsid w:val="00952167"/>
    <w:rsid w:val="00962E8D"/>
    <w:rsid w:val="00965912"/>
    <w:rsid w:val="0097332A"/>
    <w:rsid w:val="00982CEE"/>
    <w:rsid w:val="00983562"/>
    <w:rsid w:val="0098554D"/>
    <w:rsid w:val="0099234C"/>
    <w:rsid w:val="009A49D1"/>
    <w:rsid w:val="009A5C20"/>
    <w:rsid w:val="009B4FB7"/>
    <w:rsid w:val="009B6EF5"/>
    <w:rsid w:val="009E5129"/>
    <w:rsid w:val="009F1CA3"/>
    <w:rsid w:val="00A01433"/>
    <w:rsid w:val="00A0342A"/>
    <w:rsid w:val="00A07719"/>
    <w:rsid w:val="00A1086B"/>
    <w:rsid w:val="00A15B5A"/>
    <w:rsid w:val="00A210E1"/>
    <w:rsid w:val="00A32C46"/>
    <w:rsid w:val="00A519D5"/>
    <w:rsid w:val="00A51BC7"/>
    <w:rsid w:val="00A52FD8"/>
    <w:rsid w:val="00A63CEC"/>
    <w:rsid w:val="00A65F84"/>
    <w:rsid w:val="00A756ED"/>
    <w:rsid w:val="00A7575A"/>
    <w:rsid w:val="00A83FFF"/>
    <w:rsid w:val="00A924A8"/>
    <w:rsid w:val="00A9687F"/>
    <w:rsid w:val="00AB3848"/>
    <w:rsid w:val="00AB3EAC"/>
    <w:rsid w:val="00AB5E18"/>
    <w:rsid w:val="00AC196A"/>
    <w:rsid w:val="00AD5CDA"/>
    <w:rsid w:val="00AE7212"/>
    <w:rsid w:val="00AF267F"/>
    <w:rsid w:val="00B04457"/>
    <w:rsid w:val="00B070A8"/>
    <w:rsid w:val="00B10EC9"/>
    <w:rsid w:val="00B24DBC"/>
    <w:rsid w:val="00B52895"/>
    <w:rsid w:val="00B53305"/>
    <w:rsid w:val="00B573D6"/>
    <w:rsid w:val="00B71EF1"/>
    <w:rsid w:val="00B76D42"/>
    <w:rsid w:val="00B9498E"/>
    <w:rsid w:val="00BA3184"/>
    <w:rsid w:val="00BB143A"/>
    <w:rsid w:val="00BB59E5"/>
    <w:rsid w:val="00BC7926"/>
    <w:rsid w:val="00BD5E24"/>
    <w:rsid w:val="00BD7E05"/>
    <w:rsid w:val="00BF0A87"/>
    <w:rsid w:val="00BF5B1B"/>
    <w:rsid w:val="00BF7FD2"/>
    <w:rsid w:val="00C01BAA"/>
    <w:rsid w:val="00C024FF"/>
    <w:rsid w:val="00C266D3"/>
    <w:rsid w:val="00C47F7F"/>
    <w:rsid w:val="00C63839"/>
    <w:rsid w:val="00C73B96"/>
    <w:rsid w:val="00C775E0"/>
    <w:rsid w:val="00C815F5"/>
    <w:rsid w:val="00C838E1"/>
    <w:rsid w:val="00C87066"/>
    <w:rsid w:val="00C87772"/>
    <w:rsid w:val="00CA33C5"/>
    <w:rsid w:val="00CA66C8"/>
    <w:rsid w:val="00CC11EB"/>
    <w:rsid w:val="00CF63A8"/>
    <w:rsid w:val="00D02A08"/>
    <w:rsid w:val="00D13EAB"/>
    <w:rsid w:val="00D37EDB"/>
    <w:rsid w:val="00D431A1"/>
    <w:rsid w:val="00D556FE"/>
    <w:rsid w:val="00D60CB0"/>
    <w:rsid w:val="00D75A3D"/>
    <w:rsid w:val="00D90900"/>
    <w:rsid w:val="00D912A5"/>
    <w:rsid w:val="00DA0A54"/>
    <w:rsid w:val="00DA49E1"/>
    <w:rsid w:val="00DB7600"/>
    <w:rsid w:val="00DB7BC2"/>
    <w:rsid w:val="00DC0CEF"/>
    <w:rsid w:val="00DE06F9"/>
    <w:rsid w:val="00DE5AA8"/>
    <w:rsid w:val="00DE680E"/>
    <w:rsid w:val="00DF45EA"/>
    <w:rsid w:val="00E0105D"/>
    <w:rsid w:val="00E01302"/>
    <w:rsid w:val="00E25C6C"/>
    <w:rsid w:val="00E520D5"/>
    <w:rsid w:val="00E62E47"/>
    <w:rsid w:val="00E76FC3"/>
    <w:rsid w:val="00ED2DB5"/>
    <w:rsid w:val="00ED6E65"/>
    <w:rsid w:val="00EF197D"/>
    <w:rsid w:val="00EF4425"/>
    <w:rsid w:val="00EF7B93"/>
    <w:rsid w:val="00F04C3A"/>
    <w:rsid w:val="00F07157"/>
    <w:rsid w:val="00F11A2F"/>
    <w:rsid w:val="00F46A75"/>
    <w:rsid w:val="00F674A7"/>
    <w:rsid w:val="00F8433D"/>
    <w:rsid w:val="00F90281"/>
    <w:rsid w:val="00F95494"/>
    <w:rsid w:val="00FA36F7"/>
    <w:rsid w:val="00FB05FB"/>
    <w:rsid w:val="00FB71AC"/>
    <w:rsid w:val="00FC67BC"/>
    <w:rsid w:val="00FF2A0E"/>
    <w:rsid w:val="00FF3E7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EB13BD-09BB-4237-8A1E-AA30730C0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PH" w:eastAsia="en-P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7E8"/>
    <w:pPr>
      <w:spacing w:after="200" w:line="276" w:lineRule="auto"/>
    </w:pPr>
    <w:rPr>
      <w:rFonts w:ascii="Arial" w:hAnsi="Arial" w:cs="Arial"/>
      <w:color w:val="7030A0"/>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947E8"/>
    <w:rPr>
      <w:sz w:val="22"/>
      <w:szCs w:val="22"/>
      <w:lang w:eastAsia="en-US"/>
    </w:rPr>
  </w:style>
  <w:style w:type="table" w:styleId="TableGrid">
    <w:name w:val="Table Grid"/>
    <w:basedOn w:val="TableNormal"/>
    <w:rsid w:val="004947E8"/>
    <w:rPr>
      <w:rFonts w:ascii="Arial" w:hAnsi="Arial" w:cs="Arial"/>
      <w:color w:val="7030A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Resume Title,List Paragraph1"/>
    <w:basedOn w:val="Normal"/>
    <w:link w:val="ListParagraphChar"/>
    <w:uiPriority w:val="34"/>
    <w:qFormat/>
    <w:rsid w:val="004947E8"/>
    <w:pPr>
      <w:spacing w:after="100" w:afterAutospacing="1" w:line="240" w:lineRule="auto"/>
      <w:ind w:left="720"/>
      <w:contextualSpacing/>
    </w:pPr>
    <w:rPr>
      <w:rFonts w:ascii="Calibri" w:hAnsi="Calibri" w:cs="Times New Roman"/>
      <w:color w:val="auto"/>
    </w:rPr>
  </w:style>
  <w:style w:type="paragraph" w:styleId="Footer">
    <w:name w:val="footer"/>
    <w:basedOn w:val="Normal"/>
    <w:link w:val="FooterChar"/>
    <w:uiPriority w:val="99"/>
    <w:unhideWhenUsed/>
    <w:rsid w:val="004947E8"/>
    <w:pPr>
      <w:tabs>
        <w:tab w:val="center" w:pos="4680"/>
        <w:tab w:val="right" w:pos="9360"/>
      </w:tabs>
      <w:spacing w:after="0" w:line="240" w:lineRule="auto"/>
    </w:pPr>
  </w:style>
  <w:style w:type="character" w:customStyle="1" w:styleId="FooterChar">
    <w:name w:val="Footer Char"/>
    <w:link w:val="Footer"/>
    <w:uiPriority w:val="99"/>
    <w:rsid w:val="004947E8"/>
    <w:rPr>
      <w:rFonts w:ascii="Arial" w:hAnsi="Arial" w:cs="Arial"/>
      <w:color w:val="7030A0"/>
      <w:lang w:val="en-US"/>
    </w:rPr>
  </w:style>
  <w:style w:type="character" w:customStyle="1" w:styleId="ListParagraphChar">
    <w:name w:val="List Paragraph Char"/>
    <w:aliases w:val="Resume Title Char,List Paragraph1 Char"/>
    <w:link w:val="ListParagraph"/>
    <w:uiPriority w:val="34"/>
    <w:locked/>
    <w:rsid w:val="004947E8"/>
    <w:rPr>
      <w:rFonts w:ascii="Calibri" w:eastAsia="Calibri" w:hAnsi="Calibri" w:cs="Times New Roman"/>
      <w:lang w:val="en-US"/>
    </w:rPr>
  </w:style>
  <w:style w:type="paragraph" w:styleId="BalloonText">
    <w:name w:val="Balloon Text"/>
    <w:basedOn w:val="Normal"/>
    <w:link w:val="BalloonTextChar"/>
    <w:uiPriority w:val="99"/>
    <w:semiHidden/>
    <w:unhideWhenUsed/>
    <w:rsid w:val="0083181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1815"/>
    <w:rPr>
      <w:rFonts w:ascii="Segoe UI" w:hAnsi="Segoe UI" w:cs="Segoe UI"/>
      <w:color w:val="7030A0"/>
      <w:sz w:val="18"/>
      <w:szCs w:val="18"/>
      <w:lang w:val="en-US"/>
    </w:rPr>
  </w:style>
  <w:style w:type="character" w:customStyle="1" w:styleId="NoSpacingChar">
    <w:name w:val="No Spacing Char"/>
    <w:link w:val="NoSpacing"/>
    <w:uiPriority w:val="1"/>
    <w:rsid w:val="00CA33C5"/>
  </w:style>
  <w:style w:type="paragraph" w:styleId="Header">
    <w:name w:val="header"/>
    <w:basedOn w:val="Normal"/>
    <w:link w:val="HeaderChar"/>
    <w:uiPriority w:val="99"/>
    <w:unhideWhenUsed/>
    <w:rsid w:val="00242A56"/>
    <w:pPr>
      <w:tabs>
        <w:tab w:val="center" w:pos="4680"/>
        <w:tab w:val="right" w:pos="9360"/>
      </w:tabs>
    </w:pPr>
  </w:style>
  <w:style w:type="character" w:customStyle="1" w:styleId="HeaderChar">
    <w:name w:val="Header Char"/>
    <w:link w:val="Header"/>
    <w:uiPriority w:val="99"/>
    <w:rsid w:val="00242A56"/>
    <w:rPr>
      <w:rFonts w:ascii="Arial" w:hAnsi="Arial" w:cs="Arial"/>
      <w:color w:val="7030A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261B6-5538-44BE-A355-BF5B878C3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1190</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7964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COA - National Tobacco Administration</dc:creator>
  <cp:keywords/>
  <cp:lastModifiedBy>Riziel C. Garcia</cp:lastModifiedBy>
  <cp:revision>4</cp:revision>
  <cp:lastPrinted>2020-09-17T09:24:00Z</cp:lastPrinted>
  <dcterms:created xsi:type="dcterms:W3CDTF">2020-09-22T05:18:00Z</dcterms:created>
  <dcterms:modified xsi:type="dcterms:W3CDTF">2020-09-22T07:43:00Z</dcterms:modified>
</cp:coreProperties>
</file>