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after="0" w:line="240" w:lineRule="auto"/>
        <w:jc w:val="center"/>
        <w:rPr>
          <w:rFonts w:ascii="Arial" w:hAnsi="Arial" w:cs="Arial"/>
          <w:b/>
        </w:rPr>
      </w:pPr>
      <w:bookmarkStart w:id="0" w:name="_GoBack"/>
      <w:bookmarkEnd w:id="0"/>
      <w:r>
        <w:rPr>
          <w:rFonts w:ascii="Arial" w:hAnsi="Arial" w:cs="Arial"/>
          <w:b/>
        </w:rPr>
        <w:t>PART III - STATUS OF IMPLEMENTATION OF PRIOR YEARS’</w:t>
      </w:r>
    </w:p>
    <w:p>
      <w:pPr>
        <w:spacing w:after="0" w:line="240" w:lineRule="auto"/>
        <w:jc w:val="center"/>
        <w:rPr>
          <w:rFonts w:ascii="Arial" w:hAnsi="Arial" w:cs="Arial"/>
          <w:b/>
        </w:rPr>
      </w:pPr>
      <w:r>
        <w:rPr>
          <w:rFonts w:ascii="Arial" w:hAnsi="Arial" w:cs="Arial"/>
          <w:b/>
        </w:rPr>
        <w:t>AUDIT RECOMMENDATIONS</w:t>
      </w:r>
    </w:p>
    <w:p>
      <w:pPr>
        <w:spacing w:after="0" w:line="240" w:lineRule="auto"/>
        <w:rPr>
          <w:rFonts w:ascii="Arial" w:hAnsi="Arial" w:cs="Arial"/>
        </w:rPr>
      </w:pPr>
    </w:p>
    <w:p>
      <w:pPr>
        <w:spacing w:after="0" w:line="240" w:lineRule="auto"/>
        <w:ind w:left="-90"/>
        <w:rPr>
          <w:rFonts w:ascii="Arial" w:hAnsi="Arial" w:cs="Arial"/>
        </w:rPr>
      </w:pPr>
      <w:bookmarkStart w:id="1" w:name="_Hlk8369925"/>
      <w:r>
        <w:rPr>
          <w:rFonts w:ascii="Arial" w:hAnsi="Arial" w:cs="Arial"/>
        </w:rPr>
        <w:t>Of the 57 audit recommendations embodied in the Annual Audit Reports (AARs) for Calendar Years (CYs) 2019 and prior years, nine were fully implemented and one was revised and reformulated in CY 2019 AAR, thus, deleted and excluded in this Status.  Nine were not implemented; 31 were partially implemented; five were reiterated and two were revised and reformulated to be more specific, measurable and doable, as follows:</w:t>
      </w:r>
    </w:p>
    <w:bookmarkEnd w:id="1"/>
    <w:p>
      <w:pPr>
        <w:spacing w:after="0" w:line="240" w:lineRule="auto"/>
        <w:rPr>
          <w:rFonts w:ascii="Arial" w:hAnsi="Arial" w:cs="Arial"/>
        </w:rPr>
      </w:pPr>
    </w:p>
    <w:tbl>
      <w:tblPr>
        <w:tblW w:w="8820" w:type="dxa"/>
        <w:tblInd w:w="-72" w:type="dxa"/>
        <w:tblLayout w:type="fixed"/>
        <w:tblLook w:val="04A0" w:firstRow="1" w:lastRow="0" w:firstColumn="1" w:lastColumn="0" w:noHBand="0" w:noVBand="1"/>
      </w:tblPr>
      <w:tblGrid>
        <w:gridCol w:w="4750"/>
        <w:gridCol w:w="4070"/>
      </w:tblGrid>
      <w:tr>
        <w:trPr>
          <w:trHeight w:val="395"/>
          <w:tblHeader/>
        </w:trPr>
        <w:tc>
          <w:tcPr>
            <w:tcW w:w="4750" w:type="dxa"/>
            <w:tcBorders>
              <w:top w:val="single" w:sz="4" w:space="0" w:color="auto"/>
              <w:bottom w:val="single" w:sz="4" w:space="0" w:color="auto"/>
            </w:tcBorders>
            <w:vAlign w:val="center"/>
          </w:tcPr>
          <w:p>
            <w:pPr>
              <w:pStyle w:val="NoSpacing"/>
              <w:ind w:left="-105"/>
              <w:jc w:val="left"/>
              <w:rPr>
                <w:rFonts w:ascii="Arial" w:hAnsi="Arial" w:cs="Arial"/>
                <w:b/>
              </w:rPr>
            </w:pPr>
            <w:r>
              <w:rPr>
                <w:rFonts w:ascii="Arial" w:hAnsi="Arial" w:cs="Arial"/>
                <w:b/>
              </w:rPr>
              <w:t>Observations and Recommendations</w:t>
            </w:r>
          </w:p>
        </w:tc>
        <w:tc>
          <w:tcPr>
            <w:tcW w:w="4070" w:type="dxa"/>
            <w:tcBorders>
              <w:top w:val="single" w:sz="4" w:space="0" w:color="auto"/>
              <w:bottom w:val="single" w:sz="4" w:space="0" w:color="auto"/>
            </w:tcBorders>
            <w:vAlign w:val="center"/>
          </w:tcPr>
          <w:p>
            <w:pPr>
              <w:pStyle w:val="NoSpacing"/>
              <w:ind w:right="-12"/>
              <w:jc w:val="right"/>
              <w:rPr>
                <w:rFonts w:ascii="Arial" w:hAnsi="Arial" w:cs="Arial"/>
                <w:b/>
                <w:bCs/>
              </w:rPr>
            </w:pPr>
            <w:r>
              <w:rPr>
                <w:rFonts w:ascii="Arial" w:hAnsi="Arial" w:cs="Arial"/>
                <w:b/>
                <w:bCs/>
              </w:rPr>
              <w:t>Action Taken/Comments</w:t>
            </w:r>
          </w:p>
        </w:tc>
      </w:tr>
      <w:tr>
        <w:trPr>
          <w:trHeight w:val="215"/>
        </w:trPr>
        <w:tc>
          <w:tcPr>
            <w:tcW w:w="4750" w:type="dxa"/>
            <w:tcBorders>
              <w:top w:val="single" w:sz="4" w:space="0" w:color="auto"/>
            </w:tcBorders>
          </w:tcPr>
          <w:p>
            <w:pPr>
              <w:pStyle w:val="NoSpacing"/>
              <w:spacing w:line="240" w:lineRule="auto"/>
              <w:ind w:left="-105"/>
              <w:rPr>
                <w:rFonts w:ascii="Arial" w:hAnsi="Arial" w:cs="Arial"/>
                <w:b/>
                <w:u w:val="single"/>
              </w:rPr>
            </w:pPr>
            <w:r>
              <w:rPr>
                <w:rFonts w:ascii="Arial" w:hAnsi="Arial" w:cs="Arial"/>
                <w:b/>
                <w:u w:val="single"/>
              </w:rPr>
              <w:t>CY 2019 AAR</w:t>
            </w:r>
          </w:p>
          <w:p>
            <w:pPr>
              <w:pStyle w:val="NoSpacing"/>
              <w:spacing w:line="240" w:lineRule="auto"/>
              <w:ind w:left="-105"/>
              <w:rPr>
                <w:rFonts w:ascii="Arial" w:hAnsi="Arial" w:cs="Arial"/>
                <w:b/>
                <w:u w:val="single"/>
              </w:rPr>
            </w:pPr>
          </w:p>
          <w:p>
            <w:pPr>
              <w:pStyle w:val="NoSpacing"/>
              <w:numPr>
                <w:ilvl w:val="0"/>
                <w:numId w:val="4"/>
              </w:numPr>
              <w:tabs>
                <w:tab w:val="left" w:pos="362"/>
              </w:tabs>
              <w:spacing w:line="240" w:lineRule="auto"/>
              <w:ind w:left="-120" w:firstLine="0"/>
              <w:rPr>
                <w:rFonts w:ascii="Arial" w:hAnsi="Arial" w:cs="Arial"/>
                <w:bCs/>
                <w:color w:val="000000" w:themeColor="text1"/>
                <w:lang w:val="en-GB"/>
              </w:rPr>
            </w:pPr>
            <w:bookmarkStart w:id="2" w:name="_Hlk50121134"/>
            <w:r>
              <w:rPr>
                <w:rFonts w:ascii="Arial" w:hAnsi="Arial" w:cs="Arial"/>
                <w:bCs/>
                <w:color w:val="000000" w:themeColor="text1"/>
                <w:lang w:val="en-GB"/>
              </w:rPr>
              <w:t>The provision for impairment losses was inadequate, contrary to Paragraphs 67 and 68 of Philippine Public Sector Accounting Standard (PPSAS) 29 and NTA’s policy on the measurement and revaluation of Receivables, as such, Allowance for Impairment Losses was understated by P99.662 million while Accumulated Surplus was overstated for the same amount as at December 31, 2019.</w:t>
            </w:r>
          </w:p>
          <w:bookmarkEnd w:id="2"/>
          <w:p>
            <w:pPr>
              <w:pStyle w:val="NoSpacing"/>
              <w:tabs>
                <w:tab w:val="left" w:pos="362"/>
              </w:tabs>
              <w:spacing w:line="240" w:lineRule="auto"/>
              <w:ind w:left="-120"/>
              <w:rPr>
                <w:rFonts w:ascii="Arial" w:hAnsi="Arial" w:cs="Arial"/>
                <w:bCs/>
                <w:color w:val="000000" w:themeColor="text1"/>
                <w:lang w:val="en-GB"/>
              </w:rPr>
            </w:pPr>
          </w:p>
          <w:p>
            <w:pPr>
              <w:pStyle w:val="NoSpacing"/>
              <w:spacing w:line="240" w:lineRule="auto"/>
              <w:ind w:left="-105"/>
              <w:rPr>
                <w:rFonts w:ascii="Arial" w:hAnsi="Arial" w:cs="Arial"/>
                <w:u w:val="single"/>
              </w:rPr>
            </w:pPr>
            <w:r>
              <w:rPr>
                <w:rFonts w:ascii="Arial" w:hAnsi="Arial" w:cs="Arial"/>
              </w:rPr>
              <w:t>We recommended that the Management instruct the Central Office (CO) and Branch Offices (BOs’) Accountants to recalculate and adjust the Allowance for Impairment Losses to fairly present the Receivables, Other Current and Non-Current Assets accounts in the financial statements, in compliance with the pertinent provisions of PPSAS 29 and NTA’s policy on impairment losses.</w:t>
            </w:r>
          </w:p>
          <w:p>
            <w:pPr>
              <w:pStyle w:val="NoSpacing"/>
              <w:spacing w:line="240" w:lineRule="auto"/>
              <w:ind w:left="-105"/>
              <w:rPr>
                <w:rFonts w:ascii="Arial" w:hAnsi="Arial" w:cs="Arial"/>
                <w:b/>
                <w:u w:val="single"/>
              </w:rPr>
            </w:pPr>
          </w:p>
          <w:p>
            <w:pPr>
              <w:pStyle w:val="NoSpacing"/>
              <w:numPr>
                <w:ilvl w:val="0"/>
                <w:numId w:val="4"/>
              </w:numPr>
              <w:tabs>
                <w:tab w:val="left" w:pos="362"/>
              </w:tabs>
              <w:spacing w:line="240" w:lineRule="auto"/>
              <w:ind w:left="-120" w:firstLine="0"/>
              <w:rPr>
                <w:rFonts w:ascii="Arial" w:hAnsi="Arial" w:cs="Arial"/>
                <w:bCs/>
                <w:color w:val="000000" w:themeColor="text1"/>
                <w:lang w:val="en-GB"/>
              </w:rPr>
            </w:pPr>
            <w:r>
              <w:rPr>
                <w:rFonts w:ascii="Arial" w:hAnsi="Arial" w:cs="Arial"/>
                <w:bCs/>
                <w:color w:val="000000" w:themeColor="text1"/>
                <w:lang w:val="en-GB"/>
              </w:rPr>
              <w:t>The collections from Supervision and Regulation Enforcement (S&amp;RE) fees for            CY 2019 amounting to P79.109 million, fell short by P93.537 million or 54.18 per cent as compared to the projected collection of P172.646 million due to strict regulation on anti-smoking and increase in tobacco excise tax, which resulted in decrease in revenue from collections of S&amp;RE fees by P36.152 million or 31.37 per cent from CY 2018 to CY 2019.</w:t>
            </w:r>
          </w:p>
          <w:p>
            <w:pPr>
              <w:spacing w:after="0" w:line="240" w:lineRule="auto"/>
              <w:rPr>
                <w:rFonts w:ascii="Arial" w:hAnsi="Arial" w:cs="Arial"/>
              </w:rPr>
            </w:pPr>
            <w:bookmarkStart w:id="3" w:name="_Hlk73617982"/>
          </w:p>
          <w:p>
            <w:pPr>
              <w:spacing w:after="0" w:line="240" w:lineRule="auto"/>
              <w:ind w:hanging="92"/>
              <w:rPr>
                <w:rFonts w:ascii="Arial" w:hAnsi="Arial" w:cs="Arial"/>
              </w:rPr>
            </w:pPr>
            <w:r>
              <w:rPr>
                <w:rFonts w:ascii="Arial" w:hAnsi="Arial" w:cs="Arial"/>
              </w:rPr>
              <w:t>We recommended that Management:</w:t>
            </w:r>
          </w:p>
          <w:p>
            <w:pPr>
              <w:spacing w:after="0" w:line="240" w:lineRule="auto"/>
              <w:ind w:hanging="92"/>
              <w:rPr>
                <w:rFonts w:ascii="Arial" w:hAnsi="Arial" w:cs="Arial"/>
              </w:rPr>
            </w:pPr>
          </w:p>
          <w:p>
            <w:pPr>
              <w:pStyle w:val="ListParagraph"/>
              <w:numPr>
                <w:ilvl w:val="0"/>
                <w:numId w:val="13"/>
              </w:numPr>
              <w:tabs>
                <w:tab w:val="left" w:pos="343"/>
              </w:tabs>
              <w:spacing w:after="0" w:line="240" w:lineRule="auto"/>
              <w:ind w:left="-92" w:firstLine="0"/>
              <w:rPr>
                <w:rFonts w:ascii="Arial" w:hAnsi="Arial" w:cs="Arial"/>
              </w:rPr>
            </w:pPr>
            <w:r>
              <w:rPr>
                <w:rFonts w:ascii="Arial" w:hAnsi="Arial" w:cs="Arial"/>
              </w:rPr>
              <w:t>Require the Accounting Division and Regulation Department to reconcile the variance of P31.562 million on actual collections (P79.109 million less P110.671 million) and make appropriate adjusting entries, if warranted; and</w:t>
            </w:r>
          </w:p>
          <w:p>
            <w:pPr>
              <w:pStyle w:val="ListParagraph"/>
              <w:numPr>
                <w:ilvl w:val="0"/>
                <w:numId w:val="13"/>
              </w:numPr>
              <w:tabs>
                <w:tab w:val="left" w:pos="343"/>
              </w:tabs>
              <w:spacing w:after="0" w:line="240" w:lineRule="auto"/>
              <w:ind w:left="-92" w:firstLine="0"/>
              <w:rPr>
                <w:rFonts w:ascii="Arial" w:hAnsi="Arial" w:cs="Arial"/>
              </w:rPr>
            </w:pPr>
            <w:r>
              <w:rPr>
                <w:rFonts w:ascii="Arial" w:hAnsi="Arial" w:cs="Arial"/>
              </w:rPr>
              <w:lastRenderedPageBreak/>
              <w:t>Moving forward, consider revising the projected revenue, if during the year, there are factors or conditions beyond their control that will significantly affect the attainment of its target.</w:t>
            </w:r>
          </w:p>
          <w:p>
            <w:pPr>
              <w:spacing w:after="0" w:line="240" w:lineRule="auto"/>
              <w:rPr>
                <w:rFonts w:ascii="Arial" w:hAnsi="Arial" w:cs="Arial"/>
              </w:rPr>
            </w:pPr>
          </w:p>
          <w:bookmarkEnd w:id="3"/>
          <w:p>
            <w:pPr>
              <w:pStyle w:val="NoSpacing"/>
              <w:numPr>
                <w:ilvl w:val="0"/>
                <w:numId w:val="4"/>
              </w:numPr>
              <w:tabs>
                <w:tab w:val="left" w:pos="362"/>
              </w:tabs>
              <w:spacing w:line="240" w:lineRule="auto"/>
              <w:ind w:left="-120" w:firstLine="0"/>
              <w:rPr>
                <w:rFonts w:ascii="Arial" w:hAnsi="Arial" w:cs="Arial"/>
                <w:bCs/>
              </w:rPr>
            </w:pPr>
            <w:r>
              <w:rPr>
                <w:rFonts w:ascii="Arial" w:hAnsi="Arial" w:cs="Arial"/>
                <w:bCs/>
              </w:rPr>
              <w:t xml:space="preserve">Only P112.788 million or 34 per cent were collected during the year, out of the P331.770 million due for </w:t>
            </w:r>
            <w:r>
              <w:rPr>
                <w:rFonts w:ascii="Arial" w:hAnsi="Arial" w:cs="Arial"/>
                <w:bCs/>
                <w:color w:val="000000" w:themeColor="text1"/>
                <w:lang w:val="en-GB"/>
              </w:rPr>
              <w:t>collections</w:t>
            </w:r>
            <w:r>
              <w:rPr>
                <w:rFonts w:ascii="Arial" w:hAnsi="Arial" w:cs="Arial"/>
                <w:bCs/>
              </w:rPr>
              <w:t xml:space="preserve"> in CY 2019 representing loans granted to farmer-beneficiaries in NTA </w:t>
            </w:r>
            <w:proofErr w:type="spellStart"/>
            <w:r>
              <w:rPr>
                <w:rFonts w:ascii="Arial" w:hAnsi="Arial" w:cs="Arial"/>
                <w:bCs/>
              </w:rPr>
              <w:t>Pangasinan</w:t>
            </w:r>
            <w:proofErr w:type="spellEnd"/>
            <w:r>
              <w:rPr>
                <w:rFonts w:ascii="Arial" w:hAnsi="Arial" w:cs="Arial"/>
                <w:bCs/>
              </w:rPr>
              <w:t xml:space="preserve">, </w:t>
            </w:r>
            <w:proofErr w:type="spellStart"/>
            <w:r>
              <w:rPr>
                <w:rFonts w:ascii="Arial" w:hAnsi="Arial" w:cs="Arial"/>
                <w:bCs/>
              </w:rPr>
              <w:t>Abra</w:t>
            </w:r>
            <w:proofErr w:type="spellEnd"/>
            <w:r>
              <w:rPr>
                <w:rFonts w:ascii="Arial" w:hAnsi="Arial" w:cs="Arial"/>
                <w:bCs/>
              </w:rPr>
              <w:t>, Vigan and La Union BOs, showing low collection efficiency.  Thus, NTA was deprived of additional funds for its operations for the attainment of its mandate.  Moreover, in Cagayan BO, the significant decline in collection efficiency by 39.39 per cent, specifically on the Rice Production Project (RPP) under the Integrated Farming and Other Income Generating Project (IFOIGAP), was due to the change of type of loan from cash to fertilizer distribution.</w:t>
            </w:r>
          </w:p>
          <w:p>
            <w:pPr>
              <w:spacing w:after="0" w:line="240" w:lineRule="auto"/>
              <w:rPr>
                <w:rFonts w:ascii="Arial" w:hAnsi="Arial" w:cs="Arial"/>
                <w:bCs/>
              </w:rPr>
            </w:pPr>
          </w:p>
          <w:p>
            <w:pPr>
              <w:pStyle w:val="NoSpacing"/>
              <w:tabs>
                <w:tab w:val="left" w:pos="362"/>
              </w:tabs>
              <w:spacing w:line="240" w:lineRule="auto"/>
              <w:ind w:left="-120"/>
              <w:rPr>
                <w:rFonts w:ascii="Arial" w:hAnsi="Arial" w:cs="Arial"/>
                <w:bCs/>
              </w:rPr>
            </w:pPr>
            <w:r>
              <w:rPr>
                <w:rFonts w:ascii="Arial" w:hAnsi="Arial" w:cs="Arial"/>
                <w:bCs/>
              </w:rPr>
              <w:t>We recommended that Management:</w:t>
            </w:r>
          </w:p>
          <w:p>
            <w:pPr>
              <w:pStyle w:val="NoSpacing"/>
              <w:spacing w:line="240" w:lineRule="auto"/>
              <w:ind w:firstLine="720"/>
              <w:rPr>
                <w:rFonts w:ascii="Arial" w:hAnsi="Arial" w:cs="Arial"/>
                <w:b/>
              </w:rPr>
            </w:pPr>
          </w:p>
          <w:p>
            <w:pPr>
              <w:pStyle w:val="NoSpacing"/>
              <w:numPr>
                <w:ilvl w:val="0"/>
                <w:numId w:val="11"/>
              </w:numPr>
              <w:tabs>
                <w:tab w:val="left" w:pos="358"/>
              </w:tabs>
              <w:spacing w:line="240" w:lineRule="auto"/>
              <w:ind w:left="-92" w:firstLine="0"/>
              <w:rPr>
                <w:rFonts w:ascii="Arial" w:hAnsi="Arial" w:cs="Arial"/>
                <w:bCs/>
              </w:rPr>
            </w:pPr>
            <w:r>
              <w:rPr>
                <w:rFonts w:ascii="Arial" w:hAnsi="Arial" w:cs="Arial"/>
                <w:bCs/>
              </w:rPr>
              <w:t>Limit the loans to be extended to viable projects;</w:t>
            </w:r>
          </w:p>
          <w:p>
            <w:pPr>
              <w:pStyle w:val="NoSpacing"/>
              <w:tabs>
                <w:tab w:val="left" w:pos="358"/>
              </w:tabs>
              <w:spacing w:line="240" w:lineRule="auto"/>
              <w:ind w:left="-92"/>
              <w:rPr>
                <w:rFonts w:ascii="Arial" w:eastAsiaTheme="majorEastAsia" w:hAnsi="Arial" w:cs="Arial"/>
                <w:b/>
                <w:bCs/>
                <w:color w:val="4472C4" w:themeColor="accent1"/>
              </w:rPr>
            </w:pPr>
          </w:p>
          <w:p>
            <w:pPr>
              <w:pStyle w:val="NoSpacing"/>
              <w:numPr>
                <w:ilvl w:val="0"/>
                <w:numId w:val="11"/>
              </w:numPr>
              <w:tabs>
                <w:tab w:val="left" w:pos="358"/>
              </w:tabs>
              <w:spacing w:line="240" w:lineRule="auto"/>
              <w:ind w:left="-92" w:firstLine="0"/>
              <w:rPr>
                <w:rFonts w:ascii="Arial" w:hAnsi="Arial" w:cs="Arial"/>
                <w:bCs/>
              </w:rPr>
            </w:pPr>
            <w:r>
              <w:rPr>
                <w:rFonts w:ascii="Arial" w:hAnsi="Arial" w:cs="Arial"/>
                <w:bCs/>
              </w:rPr>
              <w:t>Deduct from the proceeds of new loans the unpaid balances to prevent accumulation of arrearages;</w:t>
            </w:r>
          </w:p>
          <w:p>
            <w:pPr>
              <w:pStyle w:val="NoSpacing"/>
              <w:spacing w:line="240" w:lineRule="auto"/>
              <w:rPr>
                <w:rFonts w:ascii="Arial" w:eastAsiaTheme="majorEastAsia" w:hAnsi="Arial" w:cs="Arial"/>
                <w:b/>
                <w:bCs/>
                <w:color w:val="4472C4" w:themeColor="accent1"/>
              </w:rPr>
            </w:pPr>
          </w:p>
          <w:p>
            <w:pPr>
              <w:pStyle w:val="NoSpacing"/>
              <w:spacing w:line="240" w:lineRule="auto"/>
              <w:rPr>
                <w:rFonts w:ascii="Arial" w:eastAsiaTheme="majorEastAsia" w:hAnsi="Arial" w:cs="Arial"/>
                <w:b/>
                <w:bCs/>
                <w:color w:val="4472C4" w:themeColor="accent1"/>
              </w:rPr>
            </w:pPr>
          </w:p>
          <w:p>
            <w:pPr>
              <w:pStyle w:val="NoSpacing"/>
              <w:spacing w:line="240" w:lineRule="auto"/>
              <w:rPr>
                <w:rFonts w:ascii="Arial" w:eastAsiaTheme="majorEastAsia" w:hAnsi="Arial" w:cs="Arial"/>
                <w:b/>
                <w:bCs/>
                <w:color w:val="4472C4" w:themeColor="accent1"/>
              </w:rPr>
            </w:pPr>
          </w:p>
          <w:p>
            <w:pPr>
              <w:pStyle w:val="NoSpacing"/>
              <w:spacing w:line="240" w:lineRule="auto"/>
              <w:rPr>
                <w:rFonts w:ascii="Arial" w:eastAsiaTheme="majorEastAsia" w:hAnsi="Arial" w:cs="Arial"/>
                <w:b/>
                <w:bCs/>
                <w:color w:val="4472C4" w:themeColor="accent1"/>
              </w:rPr>
            </w:pPr>
          </w:p>
          <w:p>
            <w:pPr>
              <w:pStyle w:val="NoSpacing"/>
              <w:spacing w:line="240" w:lineRule="auto"/>
              <w:rPr>
                <w:rFonts w:ascii="Arial" w:eastAsiaTheme="majorEastAsia" w:hAnsi="Arial" w:cs="Arial"/>
                <w:b/>
                <w:bCs/>
                <w:color w:val="4472C4" w:themeColor="accent1"/>
              </w:rPr>
            </w:pPr>
          </w:p>
          <w:p>
            <w:pPr>
              <w:pStyle w:val="NoSpacing"/>
              <w:numPr>
                <w:ilvl w:val="0"/>
                <w:numId w:val="11"/>
              </w:numPr>
              <w:tabs>
                <w:tab w:val="left" w:pos="358"/>
              </w:tabs>
              <w:spacing w:line="240" w:lineRule="auto"/>
              <w:ind w:left="-92" w:firstLine="0"/>
              <w:rPr>
                <w:rFonts w:ascii="Arial" w:hAnsi="Arial" w:cs="Arial"/>
                <w:bCs/>
              </w:rPr>
            </w:pPr>
            <w:r>
              <w:rPr>
                <w:rFonts w:ascii="Arial" w:hAnsi="Arial" w:cs="Arial"/>
                <w:bCs/>
              </w:rPr>
              <w:t>Intensify collection efforts by sending regular Statement of Accounts, then demand letters, either personally or through registered mail with return card;</w:t>
            </w:r>
          </w:p>
          <w:p>
            <w:pPr>
              <w:pStyle w:val="ListParagraph"/>
              <w:spacing w:after="0" w:line="240" w:lineRule="auto"/>
              <w:rPr>
                <w:rFonts w:ascii="Arial" w:hAnsi="Arial" w:cs="Arial"/>
                <w:bCs/>
              </w:rPr>
            </w:pPr>
          </w:p>
          <w:p>
            <w:pPr>
              <w:pStyle w:val="NoSpacing"/>
              <w:numPr>
                <w:ilvl w:val="0"/>
                <w:numId w:val="11"/>
              </w:numPr>
              <w:tabs>
                <w:tab w:val="left" w:pos="358"/>
              </w:tabs>
              <w:spacing w:line="240" w:lineRule="auto"/>
              <w:ind w:left="-92" w:firstLine="0"/>
              <w:rPr>
                <w:rFonts w:ascii="Arial" w:hAnsi="Arial" w:cs="Arial"/>
                <w:bCs/>
              </w:rPr>
            </w:pPr>
            <w:r>
              <w:rPr>
                <w:rFonts w:ascii="Arial" w:hAnsi="Arial" w:cs="Arial"/>
                <w:bCs/>
              </w:rPr>
              <w:t>Initiate legal action against defaulting farmer-beneficiaries with long overdue accounts, if no settlement made despite demand letters sent; and</w:t>
            </w:r>
          </w:p>
          <w:p>
            <w:pPr>
              <w:pStyle w:val="NoSpacing"/>
              <w:spacing w:line="240" w:lineRule="auto"/>
              <w:rPr>
                <w:rFonts w:ascii="Arial" w:hAnsi="Arial" w:cs="Arial"/>
                <w:bCs/>
              </w:rPr>
            </w:pPr>
          </w:p>
          <w:p>
            <w:pPr>
              <w:pStyle w:val="NoSpacing"/>
              <w:numPr>
                <w:ilvl w:val="0"/>
                <w:numId w:val="11"/>
              </w:numPr>
              <w:tabs>
                <w:tab w:val="left" w:pos="358"/>
              </w:tabs>
              <w:spacing w:line="240" w:lineRule="auto"/>
              <w:ind w:left="-92" w:firstLine="0"/>
              <w:rPr>
                <w:rFonts w:ascii="Arial" w:hAnsi="Arial" w:cs="Arial"/>
                <w:bCs/>
              </w:rPr>
            </w:pPr>
            <w:r>
              <w:rPr>
                <w:rFonts w:ascii="Arial" w:hAnsi="Arial" w:cs="Arial"/>
                <w:bCs/>
              </w:rPr>
              <w:t>Monitor and evaluate the financial activities of BOs and ensure that accounting procedures and control measures are in place to attain a higher collection efficiency rate of loans receivable.</w:t>
            </w:r>
          </w:p>
          <w:p>
            <w:pPr>
              <w:pStyle w:val="NoSpacing"/>
              <w:spacing w:line="240" w:lineRule="auto"/>
              <w:ind w:hanging="92"/>
              <w:rPr>
                <w:rFonts w:ascii="Arial" w:hAnsi="Arial" w:cs="Arial"/>
                <w:bCs/>
              </w:rPr>
            </w:pPr>
            <w:r>
              <w:rPr>
                <w:rFonts w:ascii="Arial" w:hAnsi="Arial" w:cs="Arial"/>
                <w:bCs/>
              </w:rPr>
              <w:lastRenderedPageBreak/>
              <w:t>We further recommend that the Management:</w:t>
            </w:r>
          </w:p>
          <w:p>
            <w:pPr>
              <w:pStyle w:val="NoSpacing"/>
              <w:spacing w:line="240" w:lineRule="auto"/>
              <w:rPr>
                <w:rFonts w:ascii="Arial" w:hAnsi="Arial" w:cs="Arial"/>
                <w:b/>
              </w:rPr>
            </w:pPr>
          </w:p>
          <w:p>
            <w:pPr>
              <w:pStyle w:val="NoSpacing"/>
              <w:numPr>
                <w:ilvl w:val="0"/>
                <w:numId w:val="12"/>
              </w:numPr>
              <w:tabs>
                <w:tab w:val="left" w:pos="358"/>
              </w:tabs>
              <w:spacing w:line="240" w:lineRule="auto"/>
              <w:ind w:left="-92" w:firstLine="0"/>
              <w:rPr>
                <w:rFonts w:ascii="Arial" w:hAnsi="Arial" w:cs="Arial"/>
                <w:bCs/>
              </w:rPr>
            </w:pPr>
            <w:r>
              <w:rPr>
                <w:rFonts w:ascii="Arial" w:hAnsi="Arial" w:cs="Arial"/>
                <w:bCs/>
              </w:rPr>
              <w:t>Require the BOs to communicate in writing with the Philippine Statistics Authority and/or Commission on Elections to request for the residential address of those farmers’ with returned demand letters, to facilitate collection of accounts; and</w:t>
            </w:r>
          </w:p>
          <w:p>
            <w:pPr>
              <w:pStyle w:val="NoSpacing"/>
              <w:tabs>
                <w:tab w:val="left" w:pos="720"/>
                <w:tab w:val="left" w:pos="1260"/>
              </w:tabs>
              <w:spacing w:line="240" w:lineRule="auto"/>
              <w:ind w:left="720"/>
              <w:rPr>
                <w:rFonts w:ascii="Arial" w:hAnsi="Arial" w:cs="Arial"/>
                <w:bCs/>
              </w:rPr>
            </w:pPr>
          </w:p>
          <w:p>
            <w:pPr>
              <w:pStyle w:val="NoSpacing"/>
              <w:numPr>
                <w:ilvl w:val="0"/>
                <w:numId w:val="12"/>
              </w:numPr>
              <w:tabs>
                <w:tab w:val="left" w:pos="358"/>
              </w:tabs>
              <w:spacing w:line="240" w:lineRule="auto"/>
              <w:ind w:left="-92" w:firstLine="0"/>
              <w:rPr>
                <w:rFonts w:ascii="Arial" w:hAnsi="Arial" w:cs="Arial"/>
                <w:bCs/>
              </w:rPr>
            </w:pPr>
            <w:r>
              <w:rPr>
                <w:rFonts w:ascii="Arial" w:hAnsi="Arial" w:cs="Arial"/>
                <w:bCs/>
              </w:rPr>
              <w:t>Come up with strategies on how to improve collection efficiency even in times of disasters/calamities, by considering the possibility of reducing the interest rate on loans and offering rebates or discount to farmer’s who will be able to settle their monthly amortization or accounts on or before the deadline.</w:t>
            </w:r>
          </w:p>
          <w:p>
            <w:pPr>
              <w:pStyle w:val="NoSpacing"/>
              <w:tabs>
                <w:tab w:val="left" w:pos="362"/>
              </w:tabs>
              <w:spacing w:line="240" w:lineRule="auto"/>
              <w:rPr>
                <w:rFonts w:ascii="Arial" w:hAnsi="Arial" w:cs="Arial"/>
                <w:bCs/>
                <w:color w:val="000000" w:themeColor="text1"/>
                <w:lang w:val="en-GB"/>
              </w:rPr>
            </w:pPr>
          </w:p>
          <w:p>
            <w:pPr>
              <w:pStyle w:val="NoSpacing"/>
              <w:numPr>
                <w:ilvl w:val="0"/>
                <w:numId w:val="4"/>
              </w:numPr>
              <w:tabs>
                <w:tab w:val="left" w:pos="362"/>
              </w:tabs>
              <w:spacing w:line="240" w:lineRule="auto"/>
              <w:ind w:left="-120" w:firstLine="0"/>
              <w:rPr>
                <w:rFonts w:ascii="Arial" w:hAnsi="Arial" w:cs="Arial"/>
                <w:bCs/>
              </w:rPr>
            </w:pPr>
            <w:r>
              <w:rPr>
                <w:rFonts w:ascii="Arial" w:hAnsi="Arial" w:cs="Arial"/>
                <w:bCs/>
              </w:rPr>
              <w:t>Out of the P61.750 million GAD Plan and Budget (GPB) for 2019, which was adjusted and duly endorsed by the Philippine Commission on Women (PCW) in compliance with PCW-National Economic Development Authority (NEDA)-Department of Budget and Management (DBM) Joint Circular No. 2012-01 dated August 22, 2012, only P51.671 million, or 83.68 per cent, was spent for Gender and Development (GAD) activities in CY 2019, leaving P10.079 million or 16.32 per cent which was not attributed to GAD-related activities and gender-responsive programs, hence, deprived the intended recipients of its benefits.</w:t>
            </w:r>
          </w:p>
          <w:p>
            <w:pPr>
              <w:spacing w:after="0" w:line="240" w:lineRule="auto"/>
              <w:rPr>
                <w:rFonts w:ascii="Arial" w:hAnsi="Arial" w:cs="Arial"/>
                <w:bCs/>
              </w:rPr>
            </w:pPr>
          </w:p>
          <w:p>
            <w:pPr>
              <w:pStyle w:val="NoSpacing"/>
              <w:spacing w:line="240" w:lineRule="auto"/>
              <w:ind w:left="-92"/>
              <w:rPr>
                <w:rFonts w:ascii="Arial" w:hAnsi="Arial" w:cs="Arial"/>
                <w:bCs/>
              </w:rPr>
            </w:pPr>
            <w:r>
              <w:rPr>
                <w:rFonts w:ascii="Arial" w:hAnsi="Arial" w:cs="Arial"/>
                <w:bCs/>
              </w:rPr>
              <w:t>We recommended that Management direct the Chairperson of the GAD Focal Point System to ensure that the adjusted and endorsed GPB for GAD programs, activities or projects (PAPs) are maximized and targeted activities are accomplished as planned, with due consideration to economy, efficiency and effectiveness in the implementation thereof, so as to deliver to the intended recipients the benefits.</w:t>
            </w:r>
          </w:p>
          <w:p>
            <w:pPr>
              <w:pStyle w:val="NoSpacing"/>
              <w:spacing w:line="240" w:lineRule="auto"/>
              <w:rPr>
                <w:rFonts w:ascii="Arial" w:hAnsi="Arial" w:cs="Arial"/>
                <w:b/>
                <w:u w:val="single"/>
              </w:rPr>
            </w:pPr>
          </w:p>
          <w:p>
            <w:pPr>
              <w:pStyle w:val="NoSpacing"/>
              <w:spacing w:line="240" w:lineRule="auto"/>
              <w:ind w:left="-92"/>
              <w:rPr>
                <w:rFonts w:ascii="Arial" w:hAnsi="Arial" w:cs="Arial"/>
                <w:bCs/>
              </w:rPr>
            </w:pPr>
            <w:r>
              <w:rPr>
                <w:rFonts w:ascii="Arial" w:hAnsi="Arial" w:cs="Arial"/>
                <w:bCs/>
              </w:rPr>
              <w:t>We further recommend that moving forward, the Management inform in writing the PCW of any changes to be made in the implementation of the GAD PAPs.</w:t>
            </w:r>
          </w:p>
          <w:p>
            <w:pPr>
              <w:pStyle w:val="NoSpacing"/>
              <w:spacing w:line="240" w:lineRule="auto"/>
              <w:rPr>
                <w:rFonts w:ascii="Arial" w:eastAsiaTheme="majorEastAsia" w:hAnsi="Arial" w:cs="Arial"/>
                <w:b/>
                <w:bCs/>
                <w:color w:val="4472C4" w:themeColor="accent1"/>
              </w:rPr>
            </w:pPr>
          </w:p>
          <w:p>
            <w:pPr>
              <w:pStyle w:val="NoSpacing"/>
              <w:spacing w:line="240" w:lineRule="auto"/>
              <w:rPr>
                <w:rFonts w:ascii="Arial" w:eastAsiaTheme="majorEastAsia" w:hAnsi="Arial" w:cs="Arial"/>
                <w:b/>
                <w:bCs/>
                <w:color w:val="4472C4" w:themeColor="accent1"/>
              </w:rPr>
            </w:pPr>
          </w:p>
          <w:p>
            <w:pPr>
              <w:pStyle w:val="NoSpacing"/>
              <w:spacing w:line="240" w:lineRule="auto"/>
              <w:rPr>
                <w:rFonts w:ascii="Arial" w:eastAsiaTheme="majorEastAsia" w:hAnsi="Arial" w:cs="Arial"/>
                <w:b/>
                <w:bCs/>
                <w:color w:val="4472C4" w:themeColor="accent1"/>
              </w:rPr>
            </w:pPr>
          </w:p>
          <w:p>
            <w:pPr>
              <w:pStyle w:val="NoSpacing"/>
              <w:numPr>
                <w:ilvl w:val="0"/>
                <w:numId w:val="4"/>
              </w:numPr>
              <w:tabs>
                <w:tab w:val="left" w:pos="362"/>
              </w:tabs>
              <w:spacing w:line="240" w:lineRule="auto"/>
              <w:ind w:left="-120" w:firstLine="0"/>
              <w:rPr>
                <w:rFonts w:ascii="Arial" w:hAnsi="Arial" w:cs="Arial"/>
                <w:bCs/>
              </w:rPr>
            </w:pPr>
            <w:r>
              <w:rPr>
                <w:rFonts w:ascii="Arial" w:hAnsi="Arial" w:cs="Arial"/>
                <w:bCs/>
              </w:rPr>
              <w:lastRenderedPageBreak/>
              <w:t>The BOD of NTA did not declare dividend for Dividend Year (DY) 2019 and no remittance to the National Government (NG), contrary to Section 5.a.i. of the revised Implementing Rules and Regulations (IRR) dated January 26, 2016 of Republic Act (RA) No. 7656, thus, deprived the NG of raising additional revenues that could have been utilized for other government programs/projects that will benefit the public in general.</w:t>
            </w:r>
          </w:p>
          <w:p>
            <w:pPr>
              <w:pStyle w:val="NoSpacing"/>
              <w:tabs>
                <w:tab w:val="left" w:pos="362"/>
              </w:tabs>
              <w:spacing w:line="240" w:lineRule="auto"/>
              <w:rPr>
                <w:rFonts w:ascii="Arial" w:hAnsi="Arial" w:cs="Arial"/>
                <w:bCs/>
              </w:rPr>
            </w:pPr>
          </w:p>
          <w:p>
            <w:pPr>
              <w:pStyle w:val="NoSpacing"/>
              <w:spacing w:line="240" w:lineRule="auto"/>
              <w:ind w:left="-92"/>
              <w:rPr>
                <w:rFonts w:ascii="Arial" w:hAnsi="Arial" w:cs="Arial"/>
                <w:bCs/>
              </w:rPr>
            </w:pPr>
            <w:r>
              <w:rPr>
                <w:rFonts w:ascii="Arial" w:hAnsi="Arial" w:cs="Arial"/>
                <w:bCs/>
              </w:rPr>
              <w:t>We recommended that Management:</w:t>
            </w:r>
          </w:p>
          <w:p>
            <w:pPr>
              <w:pStyle w:val="NoSpacing"/>
              <w:tabs>
                <w:tab w:val="left" w:pos="362"/>
              </w:tabs>
              <w:spacing w:line="240" w:lineRule="auto"/>
              <w:rPr>
                <w:rFonts w:ascii="Arial" w:hAnsi="Arial" w:cs="Arial"/>
                <w:bCs/>
              </w:rPr>
            </w:pPr>
          </w:p>
          <w:p>
            <w:pPr>
              <w:pStyle w:val="NoSpacing"/>
              <w:numPr>
                <w:ilvl w:val="0"/>
                <w:numId w:val="14"/>
              </w:numPr>
              <w:tabs>
                <w:tab w:val="left" w:pos="358"/>
              </w:tabs>
              <w:spacing w:line="240" w:lineRule="auto"/>
              <w:ind w:left="-92" w:firstLine="0"/>
              <w:rPr>
                <w:rFonts w:ascii="Arial" w:hAnsi="Arial" w:cs="Arial"/>
                <w:bCs/>
              </w:rPr>
            </w:pPr>
            <w:r>
              <w:rPr>
                <w:rFonts w:ascii="Arial" w:hAnsi="Arial" w:cs="Arial"/>
                <w:bCs/>
              </w:rPr>
              <w:t>Ensure that dividends equivalent to at least 50 per cent of NTA’s annual net earnings are declared by the Board of Directors (BOD) and remitted to the NG through the Bureau of the Treasury (</w:t>
            </w:r>
            <w:proofErr w:type="spellStart"/>
            <w:r>
              <w:rPr>
                <w:rFonts w:ascii="Arial" w:hAnsi="Arial" w:cs="Arial"/>
                <w:bCs/>
              </w:rPr>
              <w:t>BTr</w:t>
            </w:r>
            <w:proofErr w:type="spellEnd"/>
            <w:r>
              <w:rPr>
                <w:rFonts w:ascii="Arial" w:hAnsi="Arial" w:cs="Arial"/>
                <w:bCs/>
              </w:rPr>
              <w:t>), in compliance with Section 5.a.i. of the 2016 revised IRR of RA No. 7656; and</w:t>
            </w:r>
          </w:p>
          <w:p>
            <w:pPr>
              <w:pStyle w:val="NoSpacing"/>
              <w:tabs>
                <w:tab w:val="left" w:pos="358"/>
              </w:tabs>
              <w:spacing w:line="240" w:lineRule="auto"/>
              <w:rPr>
                <w:rFonts w:ascii="Arial" w:eastAsiaTheme="majorEastAsia" w:hAnsi="Arial" w:cs="Arial"/>
                <w:b/>
                <w:bCs/>
                <w:color w:val="4472C4" w:themeColor="accent1"/>
              </w:rPr>
            </w:pPr>
          </w:p>
          <w:p>
            <w:pPr>
              <w:pStyle w:val="NoSpacing"/>
              <w:numPr>
                <w:ilvl w:val="0"/>
                <w:numId w:val="14"/>
              </w:numPr>
              <w:tabs>
                <w:tab w:val="left" w:pos="362"/>
              </w:tabs>
              <w:spacing w:line="240" w:lineRule="auto"/>
              <w:ind w:left="-92" w:firstLine="0"/>
              <w:rPr>
                <w:rFonts w:ascii="Arial" w:hAnsi="Arial" w:cs="Arial"/>
                <w:bCs/>
              </w:rPr>
            </w:pPr>
            <w:r>
              <w:rPr>
                <w:rFonts w:ascii="Arial" w:hAnsi="Arial" w:cs="Arial"/>
                <w:bCs/>
              </w:rPr>
              <w:t>Instruct the Finance Department that in computing the dividends due to the NG, the items for adjustment be taken into consideration, as enumerated under Annex C of the 1998 revised IRR of RA No. 7656.</w:t>
            </w:r>
          </w:p>
          <w:p>
            <w:pPr>
              <w:pStyle w:val="NoSpacing"/>
              <w:spacing w:line="240" w:lineRule="auto"/>
              <w:ind w:left="-92"/>
              <w:rPr>
                <w:rFonts w:ascii="Arial" w:hAnsi="Arial" w:cs="Arial"/>
                <w:b/>
                <w:u w:val="single"/>
              </w:rPr>
            </w:pPr>
          </w:p>
          <w:p>
            <w:pPr>
              <w:pStyle w:val="NoSpacing"/>
              <w:numPr>
                <w:ilvl w:val="0"/>
                <w:numId w:val="4"/>
              </w:numPr>
              <w:tabs>
                <w:tab w:val="left" w:pos="362"/>
              </w:tabs>
              <w:spacing w:line="240" w:lineRule="auto"/>
              <w:ind w:left="-120" w:firstLine="0"/>
              <w:rPr>
                <w:rFonts w:ascii="Arial" w:hAnsi="Arial" w:cs="Arial"/>
                <w:bCs/>
                <w:color w:val="000000" w:themeColor="text1"/>
                <w:lang w:val="en-GB"/>
              </w:rPr>
            </w:pPr>
            <w:r>
              <w:rPr>
                <w:rFonts w:ascii="Arial" w:hAnsi="Arial" w:cs="Arial"/>
                <w:bCs/>
                <w:color w:val="000000" w:themeColor="text1"/>
                <w:lang w:val="en-GB"/>
              </w:rPr>
              <w:t xml:space="preserve">The audit disallowances and charges totalling P34.370 million which became final and executory remained uncollected and unsettled contrary to the provisions of COA Circular No. 2009-006 dated September 15, 2009 prescribing the use of the Rules and Regulations on the Settlement of Accounts.  Further, settlements of disallowances were made on </w:t>
            </w:r>
            <w:proofErr w:type="spellStart"/>
            <w:r>
              <w:rPr>
                <w:rFonts w:ascii="Arial" w:hAnsi="Arial" w:cs="Arial"/>
                <w:bCs/>
                <w:color w:val="000000" w:themeColor="text1"/>
                <w:lang w:val="en-GB"/>
              </w:rPr>
              <w:t>installment</w:t>
            </w:r>
            <w:proofErr w:type="spellEnd"/>
            <w:r>
              <w:rPr>
                <w:rFonts w:ascii="Arial" w:hAnsi="Arial" w:cs="Arial"/>
                <w:bCs/>
                <w:color w:val="000000" w:themeColor="text1"/>
                <w:lang w:val="en-GB"/>
              </w:rPr>
              <w:t xml:space="preserve"> basis without the authority required under COA Resolution No. 2015-031 dated August 20, 1995 and Section 23.1 of COA Circular No. 2009-006.</w:t>
            </w:r>
          </w:p>
          <w:p>
            <w:pPr>
              <w:pStyle w:val="NoSpacing"/>
              <w:spacing w:line="240" w:lineRule="auto"/>
              <w:ind w:left="-92"/>
              <w:rPr>
                <w:rFonts w:ascii="Arial" w:hAnsi="Arial" w:cs="Arial"/>
                <w:b/>
                <w:u w:val="single"/>
              </w:rPr>
            </w:pPr>
          </w:p>
          <w:p>
            <w:pPr>
              <w:pStyle w:val="NoSpacing"/>
              <w:spacing w:after="200" w:line="240" w:lineRule="auto"/>
              <w:ind w:left="-92"/>
              <w:rPr>
                <w:rFonts w:ascii="Arial" w:hAnsi="Arial" w:cs="Arial"/>
                <w:bCs/>
              </w:rPr>
            </w:pPr>
            <w:r>
              <w:rPr>
                <w:rFonts w:ascii="Arial" w:hAnsi="Arial" w:cs="Arial"/>
                <w:bCs/>
              </w:rPr>
              <w:t>We recommended that Management:</w:t>
            </w:r>
          </w:p>
          <w:p>
            <w:pPr>
              <w:pStyle w:val="NoSpacing"/>
              <w:numPr>
                <w:ilvl w:val="0"/>
                <w:numId w:val="16"/>
              </w:numPr>
              <w:tabs>
                <w:tab w:val="left" w:pos="358"/>
              </w:tabs>
              <w:spacing w:line="240" w:lineRule="auto"/>
              <w:ind w:left="-90" w:hanging="2"/>
              <w:rPr>
                <w:rFonts w:ascii="Arial" w:hAnsi="Arial" w:cs="Arial"/>
                <w:bCs/>
              </w:rPr>
            </w:pPr>
            <w:r>
              <w:rPr>
                <w:rFonts w:ascii="Arial" w:hAnsi="Arial" w:cs="Arial"/>
                <w:bCs/>
              </w:rPr>
              <w:t>Direct the concerned NTA officials to exhaust all possible remedies to settle both the dormant and current audit disallowances of P34.370 million in compliance with the pertinent provisions of COA Circular No. 2009-006; and</w:t>
            </w:r>
          </w:p>
          <w:p>
            <w:pPr>
              <w:pStyle w:val="NoSpacing"/>
              <w:tabs>
                <w:tab w:val="left" w:pos="358"/>
              </w:tabs>
              <w:spacing w:line="240" w:lineRule="auto"/>
              <w:rPr>
                <w:rFonts w:ascii="Arial" w:hAnsi="Arial" w:cs="Arial"/>
                <w:bCs/>
              </w:rPr>
            </w:pPr>
          </w:p>
          <w:p>
            <w:pPr>
              <w:pStyle w:val="NoSpacing"/>
              <w:tabs>
                <w:tab w:val="left" w:pos="358"/>
              </w:tabs>
              <w:spacing w:line="240" w:lineRule="auto"/>
              <w:rPr>
                <w:rFonts w:ascii="Arial" w:hAnsi="Arial" w:cs="Arial"/>
                <w:bCs/>
              </w:rPr>
            </w:pPr>
          </w:p>
          <w:p>
            <w:pPr>
              <w:pStyle w:val="NoSpacing"/>
              <w:tabs>
                <w:tab w:val="left" w:pos="358"/>
              </w:tabs>
              <w:spacing w:line="240" w:lineRule="auto"/>
              <w:rPr>
                <w:rFonts w:ascii="Arial" w:hAnsi="Arial" w:cs="Arial"/>
                <w:bCs/>
              </w:rPr>
            </w:pPr>
          </w:p>
          <w:p>
            <w:pPr>
              <w:pStyle w:val="NoSpacing"/>
              <w:numPr>
                <w:ilvl w:val="0"/>
                <w:numId w:val="16"/>
              </w:numPr>
              <w:tabs>
                <w:tab w:val="left" w:pos="358"/>
              </w:tabs>
              <w:spacing w:line="240" w:lineRule="auto"/>
              <w:ind w:left="-90" w:hanging="2"/>
              <w:rPr>
                <w:rFonts w:ascii="Arial" w:hAnsi="Arial" w:cs="Arial"/>
                <w:bCs/>
              </w:rPr>
            </w:pPr>
            <w:r>
              <w:rPr>
                <w:rFonts w:ascii="Arial" w:hAnsi="Arial" w:cs="Arial"/>
                <w:bCs/>
              </w:rPr>
              <w:lastRenderedPageBreak/>
              <w:t>Comply with COA Resolution No. 2015-031 on the settlement of audit disallowances.</w:t>
            </w:r>
          </w:p>
          <w:p>
            <w:pPr>
              <w:pStyle w:val="NoSpacing"/>
              <w:spacing w:line="240" w:lineRule="auto"/>
              <w:ind w:left="283"/>
              <w:rPr>
                <w:rFonts w:ascii="Arial" w:hAnsi="Arial" w:cs="Arial"/>
                <w:b/>
                <w:u w:val="single"/>
              </w:rPr>
            </w:pPr>
          </w:p>
        </w:tc>
        <w:tc>
          <w:tcPr>
            <w:tcW w:w="4070" w:type="dxa"/>
            <w:tcBorders>
              <w:top w:val="single" w:sz="4" w:space="0" w:color="auto"/>
            </w:tcBorders>
          </w:tcPr>
          <w:p>
            <w:pPr>
              <w:pStyle w:val="NoSpacing"/>
              <w:keepNext/>
              <w:keepLines/>
              <w:spacing w:line="240" w:lineRule="auto"/>
              <w:outlineLvl w:val="2"/>
              <w:rPr>
                <w:rFonts w:ascii="Arial" w:hAnsi="Arial" w:cs="Arial"/>
              </w:rPr>
            </w:pPr>
          </w:p>
          <w:p>
            <w:pPr>
              <w:pStyle w:val="NoSpacing"/>
              <w:keepNext/>
              <w:keepLines/>
              <w:spacing w:before="200" w:line="240" w:lineRule="auto"/>
              <w:outlineLvl w:val="2"/>
              <w:rPr>
                <w:rFonts w:ascii="Arial" w:hAnsi="Arial" w:cs="Arial"/>
              </w:rPr>
            </w:pPr>
          </w:p>
          <w:p>
            <w:pPr>
              <w:pStyle w:val="NoSpacing"/>
              <w:keepNext/>
              <w:keepLines/>
              <w:spacing w:before="200" w:line="240" w:lineRule="auto"/>
              <w:outlineLvl w:val="2"/>
              <w:rPr>
                <w:rFonts w:ascii="Arial" w:hAnsi="Arial" w:cs="Arial"/>
              </w:rPr>
            </w:pPr>
          </w:p>
          <w:p>
            <w:pPr>
              <w:pStyle w:val="NoSpacing"/>
              <w:keepNext/>
              <w:keepLines/>
              <w:spacing w:before="200" w:line="240" w:lineRule="auto"/>
              <w:outlineLvl w:val="2"/>
              <w:rPr>
                <w:rFonts w:ascii="Arial" w:hAnsi="Arial" w:cs="Arial"/>
              </w:rPr>
            </w:pPr>
          </w:p>
          <w:p>
            <w:pPr>
              <w:pStyle w:val="NoSpacing"/>
              <w:keepNext/>
              <w:keepLines/>
              <w:spacing w:before="200" w:line="240" w:lineRule="auto"/>
              <w:outlineLvl w:val="2"/>
              <w:rPr>
                <w:rFonts w:ascii="Arial" w:hAnsi="Arial" w:cs="Arial"/>
              </w:rPr>
            </w:pPr>
          </w:p>
          <w:p>
            <w:pPr>
              <w:pStyle w:val="NoSpacing"/>
              <w:keepNext/>
              <w:keepLines/>
              <w:spacing w:before="200" w:line="240" w:lineRule="auto"/>
              <w:outlineLvl w:val="2"/>
              <w:rPr>
                <w:rFonts w:ascii="Arial" w:hAnsi="Arial" w:cs="Arial"/>
              </w:rPr>
            </w:pPr>
          </w:p>
          <w:p>
            <w:pPr>
              <w:pStyle w:val="NoSpacing"/>
              <w:keepNext/>
              <w:keepLines/>
              <w:spacing w:before="200" w:line="240" w:lineRule="auto"/>
              <w:outlineLvl w:val="2"/>
              <w:rPr>
                <w:rFonts w:ascii="Arial" w:hAnsi="Arial" w:cs="Arial"/>
                <w:sz w:val="28"/>
                <w:szCs w:val="28"/>
              </w:rPr>
            </w:pPr>
          </w:p>
          <w:p>
            <w:pPr>
              <w:pStyle w:val="NoSpacing"/>
              <w:spacing w:after="200" w:line="240" w:lineRule="auto"/>
              <w:rPr>
                <w:rFonts w:ascii="Arial" w:hAnsi="Arial" w:cs="Arial"/>
              </w:rPr>
            </w:pPr>
            <w:r>
              <w:rPr>
                <w:rFonts w:ascii="Arial" w:hAnsi="Arial" w:cs="Arial"/>
              </w:rPr>
              <w:t>Reiterated in Part II – Observations and Recommendations No. 1 of this Report.</w:t>
            </w:r>
          </w:p>
          <w:p>
            <w:pPr>
              <w:pStyle w:val="NoSpacing"/>
              <w:spacing w:after="200" w:line="240" w:lineRule="auto"/>
              <w:rPr>
                <w:rFonts w:ascii="Arial" w:hAnsi="Arial" w:cs="Arial"/>
              </w:rPr>
            </w:pPr>
            <w:r>
              <w:rPr>
                <w:rFonts w:ascii="Arial" w:hAnsi="Arial" w:cs="Arial"/>
              </w:rPr>
              <w:t>Adjustments were made amounting to P72.643 million under JEV No. 2276728 dated November 2020.</w:t>
            </w:r>
          </w:p>
          <w:p>
            <w:pPr>
              <w:pStyle w:val="NoSpacing"/>
              <w:spacing w:line="240" w:lineRule="auto"/>
              <w:rPr>
                <w:rFonts w:ascii="Arial" w:hAnsi="Arial" w:cs="Arial"/>
              </w:rPr>
            </w:pPr>
          </w:p>
          <w:p>
            <w:pPr>
              <w:pStyle w:val="NoSpacing"/>
              <w:spacing w:after="200" w:line="240" w:lineRule="auto"/>
              <w:rPr>
                <w:rFonts w:ascii="Arial" w:hAnsi="Arial" w:cs="Arial"/>
              </w:rPr>
            </w:pPr>
          </w:p>
          <w:p>
            <w:pPr>
              <w:pStyle w:val="NoSpacing"/>
              <w:spacing w:after="200" w:line="240" w:lineRule="auto"/>
              <w:rPr>
                <w:rFonts w:ascii="Arial" w:hAnsi="Arial" w:cs="Arial"/>
              </w:rPr>
            </w:pPr>
          </w:p>
          <w:p>
            <w:pPr>
              <w:pStyle w:val="NoSpacing"/>
              <w:spacing w:after="200" w:line="240" w:lineRule="auto"/>
              <w:rPr>
                <w:rFonts w:ascii="Arial" w:hAnsi="Arial" w:cs="Arial"/>
              </w:rPr>
            </w:pPr>
          </w:p>
          <w:p>
            <w:pPr>
              <w:pStyle w:val="NoSpacing"/>
              <w:spacing w:after="200" w:line="240" w:lineRule="auto"/>
              <w:rPr>
                <w:rFonts w:ascii="Arial" w:hAnsi="Arial" w:cs="Arial"/>
              </w:rPr>
            </w:pPr>
          </w:p>
          <w:p>
            <w:pPr>
              <w:pStyle w:val="NoSpacing"/>
              <w:spacing w:after="200" w:line="240" w:lineRule="auto"/>
              <w:rPr>
                <w:rFonts w:ascii="Arial" w:hAnsi="Arial" w:cs="Arial"/>
                <w:sz w:val="28"/>
                <w:szCs w:val="28"/>
              </w:rPr>
            </w:pPr>
          </w:p>
          <w:p>
            <w:pPr>
              <w:pStyle w:val="NoSpacing"/>
              <w:spacing w:after="200" w:line="240" w:lineRule="auto"/>
              <w:rPr>
                <w:rFonts w:ascii="Arial" w:hAnsi="Arial" w:cs="Arial"/>
                <w:sz w:val="28"/>
                <w:szCs w:val="28"/>
              </w:rPr>
            </w:pPr>
          </w:p>
          <w:p>
            <w:pPr>
              <w:pStyle w:val="NoSpacing"/>
              <w:spacing w:after="200" w:line="240" w:lineRule="auto"/>
              <w:rPr>
                <w:rFonts w:ascii="Arial" w:hAnsi="Arial" w:cs="Arial"/>
                <w:sz w:val="28"/>
                <w:szCs w:val="28"/>
              </w:rPr>
            </w:pPr>
          </w:p>
          <w:p>
            <w:pPr>
              <w:pStyle w:val="NoSpacing"/>
              <w:spacing w:after="200" w:line="240" w:lineRule="auto"/>
              <w:rPr>
                <w:rFonts w:ascii="Arial" w:hAnsi="Arial" w:cs="Arial"/>
                <w:sz w:val="28"/>
                <w:szCs w:val="28"/>
              </w:rPr>
            </w:pPr>
          </w:p>
          <w:p>
            <w:pPr>
              <w:pStyle w:val="NoSpacing"/>
              <w:spacing w:after="200" w:line="240" w:lineRule="auto"/>
              <w:rPr>
                <w:rFonts w:ascii="Arial" w:hAnsi="Arial" w:cs="Arial"/>
              </w:rPr>
            </w:pPr>
            <w:r>
              <w:rPr>
                <w:rFonts w:ascii="Arial" w:hAnsi="Arial" w:cs="Arial"/>
              </w:rPr>
              <w:t>Not Implemented.</w:t>
            </w:r>
          </w:p>
          <w:p>
            <w:pPr>
              <w:pStyle w:val="NoSpacing"/>
              <w:spacing w:after="200" w:line="240" w:lineRule="auto"/>
              <w:rPr>
                <w:rFonts w:ascii="Arial" w:hAnsi="Arial" w:cs="Arial"/>
              </w:rPr>
            </w:pPr>
            <w:r>
              <w:rPr>
                <w:rFonts w:ascii="Arial" w:hAnsi="Arial" w:cs="Arial"/>
              </w:rPr>
              <w:t>No adjustments had been recorded as of year-end.</w:t>
            </w:r>
          </w:p>
          <w:p>
            <w:pPr>
              <w:pStyle w:val="NoSpacing"/>
              <w:spacing w:after="200" w:line="240" w:lineRule="auto"/>
              <w:rPr>
                <w:rFonts w:ascii="Arial" w:hAnsi="Arial" w:cs="Arial"/>
              </w:rPr>
            </w:pPr>
            <w:r>
              <w:rPr>
                <w:rFonts w:ascii="Arial" w:hAnsi="Arial" w:cs="Arial"/>
              </w:rPr>
              <w:lastRenderedPageBreak/>
              <w:t>Not Implemented.</w:t>
            </w:r>
          </w:p>
          <w:p>
            <w:pPr>
              <w:pStyle w:val="NoSpacing"/>
              <w:keepNext/>
              <w:keepLines/>
              <w:spacing w:before="200" w:line="240" w:lineRule="auto"/>
              <w:outlineLvl w:val="2"/>
              <w:rPr>
                <w:rFonts w:ascii="Arial" w:hAnsi="Arial" w:cs="Arial"/>
              </w:rPr>
            </w:pPr>
          </w:p>
          <w:p>
            <w:pPr>
              <w:pStyle w:val="NoSpacing"/>
              <w:keepNext/>
              <w:keepLines/>
              <w:spacing w:before="200" w:line="240" w:lineRule="auto"/>
              <w:outlineLvl w:val="2"/>
              <w:rPr>
                <w:rFonts w:ascii="Arial" w:hAnsi="Arial" w:cs="Arial"/>
              </w:rPr>
            </w:pPr>
          </w:p>
          <w:p>
            <w:pPr>
              <w:pStyle w:val="NoSpacing"/>
              <w:keepNext/>
              <w:keepLines/>
              <w:spacing w:before="200" w:line="240" w:lineRule="auto"/>
              <w:outlineLvl w:val="2"/>
              <w:rPr>
                <w:rFonts w:ascii="Arial" w:hAnsi="Arial" w:cs="Arial"/>
              </w:rPr>
            </w:pPr>
          </w:p>
          <w:p>
            <w:pPr>
              <w:pStyle w:val="NoSpacing"/>
              <w:keepNext/>
              <w:keepLines/>
              <w:spacing w:before="200" w:line="240" w:lineRule="auto"/>
              <w:outlineLvl w:val="2"/>
              <w:rPr>
                <w:rFonts w:ascii="Arial" w:hAnsi="Arial" w:cs="Arial"/>
              </w:rPr>
            </w:pPr>
          </w:p>
          <w:p>
            <w:pPr>
              <w:pStyle w:val="NoSpacing"/>
              <w:keepNext/>
              <w:keepLines/>
              <w:spacing w:before="200" w:line="240" w:lineRule="auto"/>
              <w:outlineLvl w:val="2"/>
              <w:rPr>
                <w:rFonts w:ascii="Arial" w:hAnsi="Arial" w:cs="Arial"/>
              </w:rPr>
            </w:pPr>
          </w:p>
          <w:p>
            <w:pPr>
              <w:pStyle w:val="NoSpacing"/>
              <w:keepNext/>
              <w:keepLines/>
              <w:spacing w:before="200" w:line="240" w:lineRule="auto"/>
              <w:outlineLvl w:val="2"/>
              <w:rPr>
                <w:rFonts w:ascii="Arial" w:hAnsi="Arial" w:cs="Arial"/>
              </w:rPr>
            </w:pPr>
          </w:p>
          <w:p>
            <w:pPr>
              <w:pStyle w:val="NoSpacing"/>
              <w:keepNext/>
              <w:keepLines/>
              <w:spacing w:before="200" w:line="240" w:lineRule="auto"/>
              <w:outlineLvl w:val="2"/>
              <w:rPr>
                <w:rFonts w:ascii="Arial" w:hAnsi="Arial" w:cs="Arial"/>
              </w:rPr>
            </w:pPr>
          </w:p>
          <w:p>
            <w:pPr>
              <w:pStyle w:val="NoSpacing"/>
              <w:keepNext/>
              <w:keepLines/>
              <w:spacing w:before="200" w:line="240" w:lineRule="auto"/>
              <w:outlineLvl w:val="2"/>
              <w:rPr>
                <w:rFonts w:ascii="Arial" w:hAnsi="Arial" w:cs="Arial"/>
              </w:rPr>
            </w:pPr>
          </w:p>
          <w:p>
            <w:pPr>
              <w:pStyle w:val="NoSpacing"/>
              <w:keepNext/>
              <w:keepLines/>
              <w:spacing w:before="200" w:line="240" w:lineRule="auto"/>
              <w:outlineLvl w:val="2"/>
              <w:rPr>
                <w:rFonts w:ascii="Arial" w:hAnsi="Arial" w:cs="Arial"/>
              </w:rPr>
            </w:pPr>
          </w:p>
          <w:p>
            <w:pPr>
              <w:pStyle w:val="NoSpacing"/>
              <w:keepNext/>
              <w:keepLines/>
              <w:spacing w:before="200" w:line="240" w:lineRule="auto"/>
              <w:outlineLvl w:val="2"/>
              <w:rPr>
                <w:rFonts w:ascii="Arial" w:hAnsi="Arial" w:cs="Arial"/>
              </w:rPr>
            </w:pPr>
          </w:p>
          <w:p>
            <w:pPr>
              <w:pStyle w:val="NoSpacing"/>
              <w:keepNext/>
              <w:keepLines/>
              <w:spacing w:line="240" w:lineRule="auto"/>
              <w:outlineLvl w:val="2"/>
              <w:rPr>
                <w:rFonts w:ascii="Arial" w:hAnsi="Arial" w:cs="Arial"/>
              </w:rPr>
            </w:pPr>
          </w:p>
          <w:p>
            <w:pPr>
              <w:pStyle w:val="NoSpacing"/>
              <w:keepNext/>
              <w:keepLines/>
              <w:spacing w:line="240" w:lineRule="auto"/>
              <w:outlineLvl w:val="2"/>
              <w:rPr>
                <w:rFonts w:ascii="Arial" w:hAnsi="Arial" w:cs="Arial"/>
              </w:rPr>
            </w:pPr>
          </w:p>
          <w:p>
            <w:pPr>
              <w:pStyle w:val="NoSpacing"/>
              <w:keepNext/>
              <w:keepLines/>
              <w:spacing w:line="240" w:lineRule="auto"/>
              <w:outlineLvl w:val="2"/>
              <w:rPr>
                <w:rFonts w:ascii="Arial" w:hAnsi="Arial" w:cs="Arial"/>
              </w:rPr>
            </w:pPr>
          </w:p>
          <w:p>
            <w:pPr>
              <w:pStyle w:val="NoSpacing"/>
              <w:keepNext/>
              <w:keepLines/>
              <w:spacing w:line="240" w:lineRule="auto"/>
              <w:outlineLvl w:val="2"/>
              <w:rPr>
                <w:rFonts w:ascii="Arial" w:hAnsi="Arial" w:cs="Arial"/>
              </w:rPr>
            </w:pPr>
          </w:p>
          <w:p>
            <w:pPr>
              <w:pStyle w:val="NoSpacing"/>
              <w:keepNext/>
              <w:keepLines/>
              <w:spacing w:line="240" w:lineRule="auto"/>
              <w:outlineLvl w:val="2"/>
              <w:rPr>
                <w:rFonts w:ascii="Arial" w:hAnsi="Arial" w:cs="Arial"/>
              </w:rPr>
            </w:pPr>
          </w:p>
          <w:p>
            <w:pPr>
              <w:pStyle w:val="NoSpacing"/>
              <w:spacing w:line="240" w:lineRule="auto"/>
              <w:rPr>
                <w:rFonts w:ascii="Arial" w:hAnsi="Arial" w:cs="Arial"/>
              </w:rPr>
            </w:pPr>
            <w:r>
              <w:rPr>
                <w:rFonts w:ascii="Arial" w:hAnsi="Arial" w:cs="Arial"/>
              </w:rPr>
              <w:t>Partially Implemented.</w:t>
            </w:r>
          </w:p>
          <w:p>
            <w:pPr>
              <w:pStyle w:val="NoSpacing"/>
              <w:spacing w:line="240" w:lineRule="auto"/>
              <w:rPr>
                <w:rFonts w:ascii="Arial" w:hAnsi="Arial" w:cs="Arial"/>
              </w:rPr>
            </w:pPr>
          </w:p>
          <w:p>
            <w:pPr>
              <w:pStyle w:val="NoSpacing"/>
              <w:spacing w:line="240" w:lineRule="auto"/>
              <w:rPr>
                <w:rFonts w:ascii="Arial" w:hAnsi="Arial" w:cs="Arial"/>
              </w:rPr>
            </w:pPr>
          </w:p>
          <w:p>
            <w:pPr>
              <w:pStyle w:val="NoSpacing"/>
              <w:spacing w:line="240" w:lineRule="auto"/>
              <w:rPr>
                <w:rFonts w:ascii="Arial" w:hAnsi="Arial" w:cs="Arial"/>
              </w:rPr>
            </w:pPr>
            <w:r>
              <w:rPr>
                <w:rFonts w:ascii="Arial" w:hAnsi="Arial" w:cs="Arial"/>
              </w:rPr>
              <w:t>Partially Implemented.</w:t>
            </w:r>
          </w:p>
          <w:p>
            <w:pPr>
              <w:pStyle w:val="NoSpacing"/>
              <w:spacing w:line="240" w:lineRule="auto"/>
              <w:rPr>
                <w:rFonts w:ascii="Arial" w:hAnsi="Arial" w:cs="Arial"/>
              </w:rPr>
            </w:pPr>
          </w:p>
          <w:p>
            <w:pPr>
              <w:pStyle w:val="NoSpacing"/>
              <w:spacing w:line="240" w:lineRule="auto"/>
              <w:rPr>
                <w:rFonts w:ascii="Arial" w:hAnsi="Arial" w:cs="Arial"/>
              </w:rPr>
            </w:pPr>
            <w:r>
              <w:rPr>
                <w:rFonts w:ascii="Arial" w:hAnsi="Arial" w:cs="Arial"/>
              </w:rPr>
              <w:t xml:space="preserve">The BOs deduct the balance of the outstanding loans from the proceeds of new loans, provided the farmers have attained 85 per cent repayment of their previous loans. </w:t>
            </w:r>
          </w:p>
          <w:p>
            <w:pPr>
              <w:pStyle w:val="NoSpacing"/>
              <w:spacing w:line="240" w:lineRule="auto"/>
              <w:rPr>
                <w:rFonts w:ascii="Arial" w:hAnsi="Arial" w:cs="Arial"/>
              </w:rPr>
            </w:pPr>
          </w:p>
          <w:p>
            <w:pPr>
              <w:pStyle w:val="NoSpacing"/>
              <w:spacing w:line="240" w:lineRule="auto"/>
              <w:rPr>
                <w:rFonts w:ascii="Arial" w:hAnsi="Arial" w:cs="Arial"/>
              </w:rPr>
            </w:pPr>
            <w:r>
              <w:rPr>
                <w:rFonts w:ascii="Arial" w:hAnsi="Arial" w:cs="Arial"/>
              </w:rPr>
              <w:t>Reiterated in Part II – Observations and Recommendations No. 4 of this Report.</w:t>
            </w:r>
          </w:p>
          <w:p>
            <w:pPr>
              <w:pStyle w:val="NoSpacing"/>
              <w:spacing w:line="240" w:lineRule="auto"/>
              <w:rPr>
                <w:rFonts w:ascii="Arial" w:hAnsi="Arial" w:cs="Arial"/>
              </w:rPr>
            </w:pPr>
          </w:p>
          <w:p>
            <w:pPr>
              <w:pStyle w:val="NoSpacing"/>
              <w:spacing w:line="240" w:lineRule="auto"/>
              <w:rPr>
                <w:rFonts w:ascii="Arial" w:hAnsi="Arial" w:cs="Arial"/>
              </w:rPr>
            </w:pPr>
          </w:p>
          <w:p>
            <w:pPr>
              <w:pStyle w:val="NoSpacing"/>
              <w:spacing w:line="240" w:lineRule="auto"/>
              <w:rPr>
                <w:rFonts w:ascii="Arial" w:hAnsi="Arial" w:cs="Arial"/>
              </w:rPr>
            </w:pPr>
          </w:p>
          <w:p>
            <w:pPr>
              <w:pStyle w:val="NoSpacing"/>
              <w:spacing w:line="240" w:lineRule="auto"/>
              <w:rPr>
                <w:rFonts w:ascii="Arial" w:hAnsi="Arial" w:cs="Arial"/>
              </w:rPr>
            </w:pPr>
            <w:r>
              <w:rPr>
                <w:rFonts w:ascii="Arial" w:hAnsi="Arial" w:cs="Arial"/>
              </w:rPr>
              <w:t>Reiterated in Part II – Observations and Recommendations No. 4 of this Report.</w:t>
            </w:r>
          </w:p>
          <w:p>
            <w:pPr>
              <w:pStyle w:val="NoSpacing"/>
              <w:spacing w:line="240" w:lineRule="auto"/>
              <w:rPr>
                <w:rFonts w:ascii="Arial" w:hAnsi="Arial" w:cs="Arial"/>
              </w:rPr>
            </w:pPr>
          </w:p>
          <w:p>
            <w:pPr>
              <w:pStyle w:val="NoSpacing"/>
              <w:spacing w:line="240" w:lineRule="auto"/>
              <w:rPr>
                <w:rFonts w:ascii="Arial" w:hAnsi="Arial" w:cs="Arial"/>
              </w:rPr>
            </w:pPr>
          </w:p>
          <w:p>
            <w:pPr>
              <w:pStyle w:val="NoSpacing"/>
              <w:spacing w:line="240" w:lineRule="auto"/>
              <w:rPr>
                <w:rFonts w:ascii="Arial" w:hAnsi="Arial" w:cs="Arial"/>
              </w:rPr>
            </w:pPr>
          </w:p>
          <w:p>
            <w:pPr>
              <w:pStyle w:val="NoSpacing"/>
              <w:spacing w:line="240" w:lineRule="auto"/>
              <w:rPr>
                <w:rFonts w:ascii="Arial" w:hAnsi="Arial" w:cs="Arial"/>
              </w:rPr>
            </w:pPr>
            <w:r>
              <w:rPr>
                <w:rFonts w:ascii="Arial" w:hAnsi="Arial" w:cs="Arial"/>
              </w:rPr>
              <w:t>Reiterated in Part II – Observations and Recommendations No. 4 of this Report.</w:t>
            </w:r>
          </w:p>
          <w:p>
            <w:pPr>
              <w:pStyle w:val="NoSpacing"/>
              <w:spacing w:line="240" w:lineRule="auto"/>
              <w:jc w:val="center"/>
              <w:rPr>
                <w:rFonts w:ascii="Arial" w:hAnsi="Arial" w:cs="Arial"/>
              </w:rPr>
            </w:pPr>
          </w:p>
          <w:p>
            <w:pPr>
              <w:pStyle w:val="NoSpacing"/>
              <w:spacing w:after="200" w:line="240" w:lineRule="auto"/>
              <w:jc w:val="center"/>
              <w:rPr>
                <w:rFonts w:ascii="Arial" w:hAnsi="Arial" w:cs="Arial"/>
              </w:rPr>
            </w:pPr>
          </w:p>
          <w:p>
            <w:pPr>
              <w:pStyle w:val="NoSpacing"/>
              <w:keepNext/>
              <w:keepLines/>
              <w:spacing w:before="480" w:line="240" w:lineRule="auto"/>
              <w:jc w:val="center"/>
              <w:outlineLvl w:val="0"/>
              <w:rPr>
                <w:rFonts w:ascii="Arial" w:hAnsi="Arial" w:cs="Arial"/>
                <w:sz w:val="21"/>
                <w:szCs w:val="21"/>
              </w:rPr>
            </w:pPr>
          </w:p>
          <w:p>
            <w:pPr>
              <w:pStyle w:val="NoSpacing"/>
              <w:spacing w:line="240" w:lineRule="auto"/>
              <w:rPr>
                <w:rFonts w:ascii="Arial" w:hAnsi="Arial" w:cs="Arial"/>
              </w:rPr>
            </w:pPr>
            <w:r>
              <w:rPr>
                <w:rFonts w:ascii="Arial" w:hAnsi="Arial" w:cs="Arial"/>
              </w:rPr>
              <w:t>Not Implemented.</w:t>
            </w:r>
          </w:p>
          <w:p>
            <w:pPr>
              <w:pStyle w:val="NoSpacing"/>
              <w:spacing w:after="200" w:line="240" w:lineRule="auto"/>
              <w:rPr>
                <w:rFonts w:ascii="Arial" w:hAnsi="Arial" w:cs="Arial"/>
              </w:rPr>
            </w:pPr>
          </w:p>
          <w:p>
            <w:pPr>
              <w:pStyle w:val="NoSpacing"/>
              <w:spacing w:after="200" w:line="240" w:lineRule="auto"/>
              <w:rPr>
                <w:rFonts w:ascii="Arial" w:hAnsi="Arial" w:cs="Arial"/>
              </w:rPr>
            </w:pPr>
          </w:p>
          <w:p>
            <w:pPr>
              <w:pStyle w:val="NoSpacing"/>
              <w:spacing w:line="240" w:lineRule="auto"/>
              <w:rPr>
                <w:rFonts w:ascii="Arial" w:hAnsi="Arial" w:cs="Arial"/>
              </w:rPr>
            </w:pPr>
          </w:p>
          <w:p>
            <w:pPr>
              <w:pStyle w:val="NoSpacing"/>
              <w:spacing w:line="240" w:lineRule="auto"/>
              <w:rPr>
                <w:rFonts w:ascii="Arial" w:hAnsi="Arial" w:cs="Arial"/>
                <w:sz w:val="30"/>
                <w:szCs w:val="30"/>
              </w:rPr>
            </w:pPr>
          </w:p>
          <w:p>
            <w:pPr>
              <w:pStyle w:val="NoSpacing"/>
              <w:spacing w:after="200" w:line="240" w:lineRule="auto"/>
              <w:rPr>
                <w:rFonts w:ascii="Arial" w:hAnsi="Arial" w:cs="Arial"/>
              </w:rPr>
            </w:pPr>
            <w:r>
              <w:rPr>
                <w:rFonts w:ascii="Arial" w:hAnsi="Arial" w:cs="Arial"/>
              </w:rPr>
              <w:t>Revised and reformulated in Part II – Observations and Recommendations No. 4 of this Report.</w:t>
            </w:r>
          </w:p>
          <w:p>
            <w:pPr>
              <w:pStyle w:val="NoSpacing"/>
              <w:keepNext/>
              <w:keepLines/>
              <w:spacing w:line="240" w:lineRule="auto"/>
              <w:outlineLvl w:val="2"/>
              <w:rPr>
                <w:rFonts w:ascii="Arial" w:hAnsi="Arial" w:cs="Arial"/>
              </w:rPr>
            </w:pPr>
          </w:p>
          <w:p>
            <w:pPr>
              <w:pStyle w:val="NoSpacing"/>
              <w:keepNext/>
              <w:keepLines/>
              <w:spacing w:line="240" w:lineRule="auto"/>
              <w:outlineLvl w:val="2"/>
              <w:rPr>
                <w:rFonts w:ascii="Arial" w:hAnsi="Arial" w:cs="Arial"/>
              </w:rPr>
            </w:pPr>
          </w:p>
          <w:p>
            <w:pPr>
              <w:pStyle w:val="NoSpacing"/>
              <w:keepNext/>
              <w:keepLines/>
              <w:spacing w:line="240" w:lineRule="auto"/>
              <w:outlineLvl w:val="2"/>
              <w:rPr>
                <w:rFonts w:ascii="Arial" w:hAnsi="Arial" w:cs="Arial"/>
              </w:rPr>
            </w:pPr>
          </w:p>
          <w:p>
            <w:pPr>
              <w:pStyle w:val="NoSpacing"/>
              <w:keepNext/>
              <w:keepLines/>
              <w:spacing w:line="240" w:lineRule="auto"/>
              <w:outlineLvl w:val="2"/>
              <w:rPr>
                <w:rFonts w:ascii="Arial" w:hAnsi="Arial" w:cs="Arial"/>
              </w:rPr>
            </w:pPr>
          </w:p>
          <w:p>
            <w:pPr>
              <w:pStyle w:val="NoSpacing"/>
              <w:spacing w:after="200" w:line="240" w:lineRule="auto"/>
              <w:jc w:val="center"/>
              <w:rPr>
                <w:rFonts w:ascii="Arial" w:hAnsi="Arial" w:cs="Arial"/>
              </w:rPr>
            </w:pPr>
          </w:p>
          <w:p>
            <w:pPr>
              <w:pStyle w:val="NoSpacing"/>
              <w:spacing w:after="200" w:line="240" w:lineRule="auto"/>
              <w:rPr>
                <w:rFonts w:ascii="Arial" w:hAnsi="Arial" w:cs="Arial"/>
              </w:rPr>
            </w:pPr>
          </w:p>
          <w:p>
            <w:pPr>
              <w:pStyle w:val="NoSpacing"/>
              <w:spacing w:after="200" w:line="240" w:lineRule="auto"/>
              <w:rPr>
                <w:rFonts w:ascii="Arial" w:hAnsi="Arial" w:cs="Arial"/>
              </w:rPr>
            </w:pPr>
          </w:p>
          <w:p>
            <w:pPr>
              <w:pStyle w:val="NoSpacing"/>
              <w:spacing w:after="200" w:line="240" w:lineRule="auto"/>
              <w:rPr>
                <w:rFonts w:ascii="Arial" w:hAnsi="Arial" w:cs="Arial"/>
              </w:rPr>
            </w:pPr>
          </w:p>
          <w:p>
            <w:pPr>
              <w:pStyle w:val="NoSpacing"/>
              <w:spacing w:after="200" w:line="240" w:lineRule="auto"/>
              <w:rPr>
                <w:rFonts w:ascii="Arial" w:hAnsi="Arial" w:cs="Arial"/>
              </w:rPr>
            </w:pPr>
          </w:p>
          <w:p>
            <w:pPr>
              <w:pStyle w:val="NoSpacing"/>
              <w:spacing w:after="200" w:line="240" w:lineRule="auto"/>
              <w:rPr>
                <w:rFonts w:ascii="Arial" w:hAnsi="Arial" w:cs="Arial"/>
              </w:rPr>
            </w:pPr>
          </w:p>
          <w:p>
            <w:pPr>
              <w:pStyle w:val="NoSpacing"/>
              <w:spacing w:after="200" w:line="240" w:lineRule="auto"/>
              <w:rPr>
                <w:rFonts w:ascii="Arial" w:hAnsi="Arial" w:cs="Arial"/>
              </w:rPr>
            </w:pPr>
          </w:p>
          <w:p>
            <w:pPr>
              <w:pStyle w:val="NoSpacing"/>
              <w:spacing w:line="240" w:lineRule="auto"/>
              <w:rPr>
                <w:rFonts w:ascii="Arial" w:hAnsi="Arial" w:cs="Arial"/>
              </w:rPr>
            </w:pPr>
          </w:p>
          <w:p>
            <w:pPr>
              <w:pStyle w:val="NoSpacing"/>
              <w:spacing w:line="240" w:lineRule="auto"/>
              <w:rPr>
                <w:rFonts w:ascii="Arial" w:hAnsi="Arial" w:cs="Arial"/>
                <w:sz w:val="36"/>
                <w:szCs w:val="36"/>
              </w:rPr>
            </w:pPr>
          </w:p>
          <w:p>
            <w:pPr>
              <w:pStyle w:val="NoSpacing"/>
              <w:spacing w:after="200" w:line="240" w:lineRule="auto"/>
              <w:rPr>
                <w:rFonts w:ascii="Arial" w:hAnsi="Arial" w:cs="Arial"/>
              </w:rPr>
            </w:pPr>
            <w:r>
              <w:rPr>
                <w:rFonts w:ascii="Arial" w:hAnsi="Arial" w:cs="Arial"/>
              </w:rPr>
              <w:t>Partially Implemented.</w:t>
            </w:r>
          </w:p>
          <w:p>
            <w:pPr>
              <w:pStyle w:val="NoSpacing"/>
              <w:spacing w:line="240" w:lineRule="auto"/>
              <w:rPr>
                <w:rFonts w:ascii="Arial" w:hAnsi="Arial" w:cs="Arial"/>
              </w:rPr>
            </w:pPr>
            <w:r>
              <w:rPr>
                <w:rFonts w:ascii="Arial" w:hAnsi="Arial" w:cs="Arial"/>
              </w:rPr>
              <w:t>The GPB for 2020 was reviewed by the PCW and submitted to the Audit Team.  However, the Management did not prepare the GAD Accomplishment Report (AR) for CY 2020 as basis in evaluating whether the GAD projects or activities undertaken were responsive to the gender sensitivity issues.</w:t>
            </w:r>
          </w:p>
          <w:p>
            <w:pPr>
              <w:pStyle w:val="NoSpacing"/>
              <w:keepNext/>
              <w:keepLines/>
              <w:spacing w:line="240" w:lineRule="auto"/>
              <w:outlineLvl w:val="2"/>
              <w:rPr>
                <w:rFonts w:ascii="Arial" w:hAnsi="Arial" w:cs="Arial"/>
                <w:sz w:val="28"/>
                <w:szCs w:val="28"/>
              </w:rPr>
            </w:pPr>
          </w:p>
          <w:p>
            <w:pPr>
              <w:pStyle w:val="NoSpacing"/>
              <w:spacing w:after="200" w:line="240" w:lineRule="auto"/>
              <w:rPr>
                <w:rFonts w:ascii="Arial" w:hAnsi="Arial" w:cs="Arial"/>
              </w:rPr>
            </w:pPr>
            <w:r>
              <w:rPr>
                <w:rFonts w:ascii="Arial" w:hAnsi="Arial" w:cs="Arial"/>
              </w:rPr>
              <w:t>Not Implemented.</w:t>
            </w:r>
          </w:p>
          <w:p>
            <w:pPr>
              <w:pStyle w:val="NoSpacing"/>
              <w:spacing w:after="200" w:line="240" w:lineRule="auto"/>
              <w:rPr>
                <w:rFonts w:ascii="Arial" w:hAnsi="Arial" w:cs="Arial"/>
              </w:rPr>
            </w:pPr>
            <w:r>
              <w:rPr>
                <w:rFonts w:ascii="Arial" w:hAnsi="Arial" w:cs="Arial"/>
              </w:rPr>
              <w:t>No GAD AR for CY 2020 was prepared by the Management.</w:t>
            </w:r>
          </w:p>
          <w:p>
            <w:pPr>
              <w:pStyle w:val="NoSpacing"/>
              <w:keepNext/>
              <w:keepLines/>
              <w:spacing w:before="200" w:line="240" w:lineRule="auto"/>
              <w:outlineLvl w:val="2"/>
              <w:rPr>
                <w:rFonts w:ascii="Arial" w:hAnsi="Arial" w:cs="Arial"/>
              </w:rPr>
            </w:pPr>
          </w:p>
          <w:p>
            <w:pPr>
              <w:pStyle w:val="NoSpacing"/>
              <w:keepNext/>
              <w:keepLines/>
              <w:spacing w:line="240" w:lineRule="auto"/>
              <w:outlineLvl w:val="2"/>
              <w:rPr>
                <w:rFonts w:ascii="Arial" w:hAnsi="Arial" w:cs="Arial"/>
              </w:rPr>
            </w:pPr>
          </w:p>
          <w:p>
            <w:pPr>
              <w:pStyle w:val="NoSpacing"/>
              <w:keepNext/>
              <w:keepLines/>
              <w:spacing w:line="240" w:lineRule="auto"/>
              <w:outlineLvl w:val="2"/>
              <w:rPr>
                <w:rFonts w:ascii="Arial" w:hAnsi="Arial" w:cs="Arial"/>
              </w:rPr>
            </w:pPr>
          </w:p>
          <w:p>
            <w:pPr>
              <w:pStyle w:val="NoSpacing"/>
              <w:keepNext/>
              <w:keepLines/>
              <w:spacing w:line="240" w:lineRule="auto"/>
              <w:outlineLvl w:val="2"/>
              <w:rPr>
                <w:rFonts w:ascii="Arial" w:hAnsi="Arial" w:cs="Arial"/>
              </w:rPr>
            </w:pPr>
          </w:p>
          <w:p>
            <w:pPr>
              <w:pStyle w:val="NoSpacing"/>
              <w:keepNext/>
              <w:keepLines/>
              <w:spacing w:line="240" w:lineRule="auto"/>
              <w:outlineLvl w:val="2"/>
              <w:rPr>
                <w:rFonts w:ascii="Arial" w:hAnsi="Arial" w:cs="Arial"/>
              </w:rPr>
            </w:pPr>
          </w:p>
          <w:p>
            <w:pPr>
              <w:pStyle w:val="NoSpacing"/>
              <w:keepNext/>
              <w:keepLines/>
              <w:spacing w:line="240" w:lineRule="auto"/>
              <w:outlineLvl w:val="2"/>
              <w:rPr>
                <w:rFonts w:ascii="Arial" w:hAnsi="Arial" w:cs="Arial"/>
              </w:rPr>
            </w:pPr>
          </w:p>
          <w:p>
            <w:pPr>
              <w:pStyle w:val="NoSpacing"/>
              <w:keepNext/>
              <w:keepLines/>
              <w:spacing w:line="240" w:lineRule="auto"/>
              <w:outlineLvl w:val="2"/>
              <w:rPr>
                <w:rFonts w:ascii="Arial" w:hAnsi="Arial" w:cs="Arial"/>
              </w:rPr>
            </w:pPr>
          </w:p>
          <w:p>
            <w:pPr>
              <w:pStyle w:val="NoSpacing"/>
              <w:keepNext/>
              <w:keepLines/>
              <w:spacing w:line="240" w:lineRule="auto"/>
              <w:outlineLvl w:val="2"/>
              <w:rPr>
                <w:rFonts w:ascii="Arial" w:hAnsi="Arial" w:cs="Arial"/>
              </w:rPr>
            </w:pPr>
          </w:p>
          <w:p>
            <w:pPr>
              <w:pStyle w:val="NoSpacing"/>
              <w:keepNext/>
              <w:keepLines/>
              <w:spacing w:line="240" w:lineRule="auto"/>
              <w:outlineLvl w:val="2"/>
              <w:rPr>
                <w:rFonts w:ascii="Arial" w:hAnsi="Arial" w:cs="Arial"/>
              </w:rPr>
            </w:pPr>
          </w:p>
          <w:p>
            <w:pPr>
              <w:pStyle w:val="NoSpacing"/>
              <w:keepNext/>
              <w:keepLines/>
              <w:spacing w:line="240" w:lineRule="auto"/>
              <w:outlineLvl w:val="2"/>
              <w:rPr>
                <w:rFonts w:ascii="Arial" w:hAnsi="Arial" w:cs="Arial"/>
              </w:rPr>
            </w:pPr>
          </w:p>
          <w:p>
            <w:pPr>
              <w:pStyle w:val="NoSpacing"/>
              <w:keepNext/>
              <w:keepLines/>
              <w:spacing w:line="240" w:lineRule="auto"/>
              <w:outlineLvl w:val="2"/>
              <w:rPr>
                <w:rFonts w:ascii="Arial" w:hAnsi="Arial" w:cs="Arial"/>
              </w:rPr>
            </w:pPr>
          </w:p>
          <w:p>
            <w:pPr>
              <w:pStyle w:val="NoSpacing"/>
              <w:keepNext/>
              <w:keepLines/>
              <w:spacing w:line="240" w:lineRule="auto"/>
              <w:outlineLvl w:val="2"/>
              <w:rPr>
                <w:rFonts w:ascii="Arial" w:hAnsi="Arial" w:cs="Arial"/>
              </w:rPr>
            </w:pPr>
          </w:p>
          <w:p>
            <w:pPr>
              <w:pStyle w:val="NoSpacing"/>
              <w:keepNext/>
              <w:keepLines/>
              <w:spacing w:line="240" w:lineRule="auto"/>
              <w:outlineLvl w:val="2"/>
              <w:rPr>
                <w:rFonts w:ascii="Arial" w:hAnsi="Arial" w:cs="Arial"/>
              </w:rPr>
            </w:pPr>
          </w:p>
          <w:p>
            <w:pPr>
              <w:pStyle w:val="NoSpacing"/>
              <w:spacing w:after="200" w:line="240" w:lineRule="auto"/>
              <w:rPr>
                <w:rFonts w:ascii="Arial" w:hAnsi="Arial" w:cs="Arial"/>
              </w:rPr>
            </w:pPr>
            <w:r>
              <w:rPr>
                <w:rFonts w:ascii="Arial" w:hAnsi="Arial" w:cs="Arial"/>
              </w:rPr>
              <w:t>Partially Implemented.</w:t>
            </w:r>
          </w:p>
          <w:p>
            <w:pPr>
              <w:pStyle w:val="NoSpacing"/>
              <w:spacing w:line="240" w:lineRule="auto"/>
              <w:rPr>
                <w:rFonts w:ascii="Arial" w:hAnsi="Arial" w:cs="Arial"/>
              </w:rPr>
            </w:pPr>
            <w:r>
              <w:rPr>
                <w:rFonts w:ascii="Arial" w:hAnsi="Arial" w:cs="Arial"/>
              </w:rPr>
              <w:t>Management did not declare and remit dividends since a deficit after tax of P396.066 million was incurred in           CY 2020.</w:t>
            </w:r>
          </w:p>
          <w:p>
            <w:pPr>
              <w:pStyle w:val="NoSpacing"/>
              <w:keepNext/>
              <w:keepLines/>
              <w:spacing w:line="240" w:lineRule="auto"/>
              <w:outlineLvl w:val="2"/>
              <w:rPr>
                <w:rFonts w:ascii="Arial" w:hAnsi="Arial" w:cs="Arial"/>
              </w:rPr>
            </w:pPr>
          </w:p>
          <w:p>
            <w:pPr>
              <w:pStyle w:val="NoSpacing"/>
              <w:spacing w:line="240" w:lineRule="auto"/>
              <w:rPr>
                <w:rFonts w:ascii="Arial" w:hAnsi="Arial" w:cs="Arial"/>
              </w:rPr>
            </w:pPr>
            <w:r>
              <w:rPr>
                <w:rFonts w:ascii="Arial" w:hAnsi="Arial" w:cs="Arial"/>
              </w:rPr>
              <w:t>Partially Implemented.</w:t>
            </w:r>
          </w:p>
          <w:p>
            <w:pPr>
              <w:pStyle w:val="NoSpacing"/>
              <w:keepNext/>
              <w:keepLines/>
              <w:spacing w:line="240" w:lineRule="auto"/>
              <w:outlineLvl w:val="2"/>
              <w:rPr>
                <w:rFonts w:ascii="Arial" w:hAnsi="Arial" w:cs="Arial"/>
              </w:rPr>
            </w:pPr>
          </w:p>
          <w:p>
            <w:pPr>
              <w:pStyle w:val="NoSpacing"/>
              <w:keepNext/>
              <w:keepLines/>
              <w:spacing w:before="200" w:line="240" w:lineRule="auto"/>
              <w:outlineLvl w:val="2"/>
              <w:rPr>
                <w:rFonts w:ascii="Arial" w:hAnsi="Arial" w:cs="Arial"/>
              </w:rPr>
            </w:pPr>
          </w:p>
          <w:p>
            <w:pPr>
              <w:pStyle w:val="NoSpacing"/>
              <w:keepNext/>
              <w:keepLines/>
              <w:spacing w:before="200" w:line="240" w:lineRule="auto"/>
              <w:outlineLvl w:val="2"/>
              <w:rPr>
                <w:rFonts w:ascii="Arial" w:hAnsi="Arial" w:cs="Arial"/>
              </w:rPr>
            </w:pPr>
          </w:p>
          <w:p>
            <w:pPr>
              <w:pStyle w:val="NoSpacing"/>
              <w:keepNext/>
              <w:keepLines/>
              <w:spacing w:before="200" w:line="240" w:lineRule="auto"/>
              <w:outlineLvl w:val="2"/>
              <w:rPr>
                <w:rFonts w:ascii="Arial" w:hAnsi="Arial" w:cs="Arial"/>
              </w:rPr>
            </w:pPr>
          </w:p>
          <w:p>
            <w:pPr>
              <w:pStyle w:val="NoSpacing"/>
              <w:keepNext/>
              <w:keepLines/>
              <w:spacing w:before="200" w:line="240" w:lineRule="auto"/>
              <w:outlineLvl w:val="2"/>
              <w:rPr>
                <w:rFonts w:ascii="Arial" w:hAnsi="Arial" w:cs="Arial"/>
              </w:rPr>
            </w:pPr>
          </w:p>
          <w:p>
            <w:pPr>
              <w:pStyle w:val="NoSpacing"/>
              <w:keepNext/>
              <w:keepLines/>
              <w:spacing w:before="200" w:line="240" w:lineRule="auto"/>
              <w:outlineLvl w:val="2"/>
              <w:rPr>
                <w:rFonts w:ascii="Arial" w:hAnsi="Arial" w:cs="Arial"/>
              </w:rPr>
            </w:pPr>
          </w:p>
          <w:p>
            <w:pPr>
              <w:pStyle w:val="NoSpacing"/>
              <w:keepNext/>
              <w:keepLines/>
              <w:spacing w:line="240" w:lineRule="auto"/>
              <w:outlineLvl w:val="2"/>
              <w:rPr>
                <w:rFonts w:ascii="Arial" w:hAnsi="Arial" w:cs="Arial"/>
              </w:rPr>
            </w:pPr>
          </w:p>
          <w:p>
            <w:pPr>
              <w:pStyle w:val="NoSpacing"/>
              <w:keepNext/>
              <w:keepLines/>
              <w:spacing w:line="240" w:lineRule="auto"/>
              <w:outlineLvl w:val="2"/>
              <w:rPr>
                <w:rFonts w:ascii="Arial" w:hAnsi="Arial" w:cs="Arial"/>
              </w:rPr>
            </w:pPr>
          </w:p>
          <w:p>
            <w:pPr>
              <w:pStyle w:val="NoSpacing"/>
              <w:keepNext/>
              <w:keepLines/>
              <w:spacing w:line="240" w:lineRule="auto"/>
              <w:outlineLvl w:val="2"/>
              <w:rPr>
                <w:rFonts w:ascii="Arial" w:hAnsi="Arial" w:cs="Arial"/>
              </w:rPr>
            </w:pPr>
          </w:p>
          <w:p>
            <w:pPr>
              <w:pStyle w:val="NoSpacing"/>
              <w:keepNext/>
              <w:keepLines/>
              <w:spacing w:line="240" w:lineRule="auto"/>
              <w:outlineLvl w:val="2"/>
              <w:rPr>
                <w:rFonts w:ascii="Arial" w:hAnsi="Arial" w:cs="Arial"/>
              </w:rPr>
            </w:pPr>
          </w:p>
          <w:p>
            <w:pPr>
              <w:pStyle w:val="NoSpacing"/>
              <w:keepNext/>
              <w:keepLines/>
              <w:spacing w:line="240" w:lineRule="auto"/>
              <w:outlineLvl w:val="2"/>
              <w:rPr>
                <w:rFonts w:ascii="Arial" w:hAnsi="Arial" w:cs="Arial"/>
              </w:rPr>
            </w:pPr>
          </w:p>
          <w:p>
            <w:pPr>
              <w:pStyle w:val="NoSpacing"/>
              <w:keepNext/>
              <w:keepLines/>
              <w:spacing w:line="240" w:lineRule="auto"/>
              <w:outlineLvl w:val="2"/>
              <w:rPr>
                <w:rFonts w:ascii="Arial" w:hAnsi="Arial" w:cs="Arial"/>
              </w:rPr>
            </w:pPr>
          </w:p>
          <w:p>
            <w:pPr>
              <w:pStyle w:val="NoSpacing"/>
              <w:keepNext/>
              <w:keepLines/>
              <w:spacing w:line="240" w:lineRule="auto"/>
              <w:outlineLvl w:val="2"/>
              <w:rPr>
                <w:rFonts w:ascii="Arial" w:hAnsi="Arial" w:cs="Arial"/>
              </w:rPr>
            </w:pPr>
          </w:p>
          <w:p>
            <w:pPr>
              <w:pStyle w:val="NoSpacing"/>
              <w:keepNext/>
              <w:keepLines/>
              <w:spacing w:line="240" w:lineRule="auto"/>
              <w:outlineLvl w:val="2"/>
              <w:rPr>
                <w:rFonts w:ascii="Arial" w:hAnsi="Arial" w:cs="Arial"/>
              </w:rPr>
            </w:pPr>
          </w:p>
          <w:p>
            <w:pPr>
              <w:pStyle w:val="NoSpacing"/>
              <w:keepNext/>
              <w:keepLines/>
              <w:spacing w:line="240" w:lineRule="auto"/>
              <w:outlineLvl w:val="2"/>
              <w:rPr>
                <w:rFonts w:ascii="Arial" w:hAnsi="Arial" w:cs="Arial"/>
                <w:sz w:val="14"/>
              </w:rPr>
            </w:pPr>
          </w:p>
          <w:p>
            <w:pPr>
              <w:pStyle w:val="NoSpacing"/>
              <w:keepNext/>
              <w:keepLines/>
              <w:spacing w:line="240" w:lineRule="auto"/>
              <w:outlineLvl w:val="2"/>
              <w:rPr>
                <w:rFonts w:ascii="Arial" w:hAnsi="Arial" w:cs="Arial"/>
                <w:sz w:val="14"/>
              </w:rPr>
            </w:pPr>
          </w:p>
          <w:p>
            <w:pPr>
              <w:pStyle w:val="NoSpacing"/>
              <w:keepNext/>
              <w:keepLines/>
              <w:spacing w:line="240" w:lineRule="auto"/>
              <w:outlineLvl w:val="2"/>
              <w:rPr>
                <w:rFonts w:ascii="Arial" w:hAnsi="Arial" w:cs="Arial"/>
                <w:sz w:val="18"/>
                <w:szCs w:val="18"/>
              </w:rPr>
            </w:pPr>
          </w:p>
          <w:p>
            <w:pPr>
              <w:pStyle w:val="NoSpacing"/>
              <w:spacing w:line="240" w:lineRule="auto"/>
              <w:rPr>
                <w:rFonts w:ascii="Arial" w:hAnsi="Arial" w:cs="Arial"/>
              </w:rPr>
            </w:pPr>
            <w:r>
              <w:rPr>
                <w:rFonts w:ascii="Arial" w:hAnsi="Arial" w:cs="Arial"/>
              </w:rPr>
              <w:t>Partially Implemented.</w:t>
            </w:r>
          </w:p>
          <w:p>
            <w:pPr>
              <w:pStyle w:val="NoSpacing"/>
              <w:keepNext/>
              <w:keepLines/>
              <w:spacing w:line="240" w:lineRule="auto"/>
              <w:outlineLvl w:val="2"/>
              <w:rPr>
                <w:rFonts w:ascii="Arial" w:hAnsi="Arial" w:cs="Arial"/>
              </w:rPr>
            </w:pPr>
          </w:p>
          <w:p>
            <w:pPr>
              <w:pStyle w:val="NoSpacing"/>
              <w:spacing w:line="240" w:lineRule="auto"/>
              <w:rPr>
                <w:rFonts w:ascii="Arial" w:hAnsi="Arial" w:cs="Arial"/>
              </w:rPr>
            </w:pPr>
            <w:r>
              <w:rPr>
                <w:rFonts w:ascii="Arial" w:hAnsi="Arial" w:cs="Arial"/>
              </w:rPr>
              <w:t>The Accounting Division continuously collect from the disallowances of employees through payroll deduction of current personnel and deduction from terminal leave pay of retiring employees.</w:t>
            </w:r>
          </w:p>
          <w:p>
            <w:pPr>
              <w:pStyle w:val="NoSpacing"/>
              <w:spacing w:after="200" w:line="240" w:lineRule="auto"/>
              <w:rPr>
                <w:rFonts w:ascii="Arial" w:hAnsi="Arial" w:cs="Arial"/>
              </w:rPr>
            </w:pPr>
            <w:r>
              <w:rPr>
                <w:rFonts w:ascii="Arial" w:hAnsi="Arial" w:cs="Arial"/>
              </w:rPr>
              <w:lastRenderedPageBreak/>
              <w:t>Partially Implemented.</w:t>
            </w:r>
          </w:p>
        </w:tc>
      </w:tr>
      <w:tr>
        <w:trPr>
          <w:trHeight w:val="480"/>
        </w:trPr>
        <w:tc>
          <w:tcPr>
            <w:tcW w:w="4750" w:type="dxa"/>
          </w:tcPr>
          <w:p>
            <w:pPr>
              <w:pStyle w:val="NoSpacing"/>
              <w:spacing w:line="240" w:lineRule="auto"/>
              <w:ind w:left="-105"/>
              <w:rPr>
                <w:rFonts w:ascii="Arial" w:hAnsi="Arial" w:cs="Arial"/>
                <w:b/>
                <w:u w:val="single"/>
              </w:rPr>
            </w:pPr>
            <w:r>
              <w:rPr>
                <w:rFonts w:ascii="Arial" w:hAnsi="Arial" w:cs="Arial"/>
                <w:b/>
                <w:u w:val="single"/>
              </w:rPr>
              <w:lastRenderedPageBreak/>
              <w:t>CY 2018 AAR</w:t>
            </w:r>
          </w:p>
          <w:p>
            <w:pPr>
              <w:pStyle w:val="NoSpacing"/>
              <w:spacing w:line="240" w:lineRule="auto"/>
              <w:ind w:left="-105"/>
              <w:rPr>
                <w:rFonts w:ascii="Arial" w:hAnsi="Arial" w:cs="Arial"/>
                <w:b/>
                <w:u w:val="single"/>
              </w:rPr>
            </w:pPr>
          </w:p>
          <w:p>
            <w:pPr>
              <w:pStyle w:val="NoSpacing"/>
              <w:numPr>
                <w:ilvl w:val="0"/>
                <w:numId w:val="4"/>
              </w:numPr>
              <w:tabs>
                <w:tab w:val="left" w:pos="362"/>
              </w:tabs>
              <w:spacing w:line="240" w:lineRule="auto"/>
              <w:ind w:left="-120" w:firstLine="0"/>
              <w:rPr>
                <w:rFonts w:ascii="Arial" w:hAnsi="Arial" w:cs="Arial"/>
                <w:bCs/>
                <w:color w:val="000000" w:themeColor="text1"/>
              </w:rPr>
            </w:pPr>
            <w:bookmarkStart w:id="4" w:name="_Hlk5713903"/>
            <w:bookmarkStart w:id="5" w:name="_Hlk11350692"/>
            <w:r>
              <w:rPr>
                <w:rFonts w:ascii="Arial" w:hAnsi="Arial" w:cs="Arial"/>
                <w:bCs/>
                <w:color w:val="000000" w:themeColor="text1"/>
                <w:lang w:val="en-GB"/>
              </w:rPr>
              <w:t xml:space="preserve">The net amount of Receivables and Other Current and Non-Current Assets accounts were overstated and the Allowance for Impairment Losses was understated by an aggregate amount of P130.495 million and P137.119 million as of December 31, 2018 and 2017, respectively, contrary to NTA's policy on the measurement and revaluation of Receivables. </w:t>
            </w:r>
            <w:r>
              <w:rPr>
                <w:rFonts w:ascii="Arial" w:hAnsi="Arial" w:cs="Arial"/>
                <w:bCs/>
                <w:color w:val="000000" w:themeColor="text1"/>
              </w:rPr>
              <w:t xml:space="preserve">The reliability and recoverability of dormant asset accounts aggregating P381.425 million, representing 32.23 per cent of the total asset balance of P1.183 billion as at December 31, 2018 are uncertain due to: (a) undocumented balances carried over from seven defunct tobacco agencies in 1987; (b) outstanding receivables from farmers/traders/cooperatives since 1996; (c) unrecovered investment in bonds with certification from the Securities and Exchange Commission (SEC) that the authority of the traders of the bonds were already revoked; and (d) receivables from officers and employees no longer in the service.  Thus, the fair view of the presentation of the assets in the financial </w:t>
            </w:r>
            <w:bookmarkEnd w:id="4"/>
            <w:r>
              <w:rPr>
                <w:rFonts w:ascii="Arial" w:hAnsi="Arial" w:cs="Arial"/>
                <w:bCs/>
                <w:color w:val="000000" w:themeColor="text1"/>
              </w:rPr>
              <w:t>statements is adversely affected.</w:t>
            </w:r>
          </w:p>
          <w:p>
            <w:pPr>
              <w:pStyle w:val="NoSpacing"/>
              <w:spacing w:line="240" w:lineRule="auto"/>
              <w:rPr>
                <w:rFonts w:ascii="Arial" w:hAnsi="Arial" w:cs="Arial"/>
                <w:bCs/>
                <w:color w:val="000000" w:themeColor="text1"/>
              </w:rPr>
            </w:pPr>
            <w:bookmarkStart w:id="6" w:name="_Hlk6422080"/>
          </w:p>
          <w:p>
            <w:pPr>
              <w:pStyle w:val="NoSpacing"/>
              <w:spacing w:line="240" w:lineRule="auto"/>
              <w:ind w:left="-120"/>
              <w:rPr>
                <w:rFonts w:ascii="Arial" w:hAnsi="Arial" w:cs="Arial"/>
                <w:bCs/>
                <w:color w:val="0D0D0D"/>
              </w:rPr>
            </w:pPr>
            <w:r>
              <w:rPr>
                <w:rFonts w:ascii="Arial" w:hAnsi="Arial" w:cs="Arial"/>
                <w:bCs/>
              </w:rPr>
              <w:t>We reiterated and updated our previous years’ audit recommendations that Management require the:</w:t>
            </w:r>
          </w:p>
          <w:p>
            <w:pPr>
              <w:pStyle w:val="NoSpacing"/>
              <w:rPr>
                <w:rFonts w:ascii="Arial" w:hAnsi="Arial" w:cs="Arial"/>
                <w:bCs/>
              </w:rPr>
            </w:pPr>
          </w:p>
          <w:p>
            <w:pPr>
              <w:pStyle w:val="NoSpacing"/>
              <w:tabs>
                <w:tab w:val="left" w:pos="362"/>
              </w:tabs>
              <w:ind w:left="-120" w:right="-7"/>
              <w:rPr>
                <w:rFonts w:ascii="Arial" w:hAnsi="Arial" w:cs="Arial"/>
                <w:bCs/>
              </w:rPr>
            </w:pPr>
            <w:bookmarkStart w:id="7" w:name="_Hlk6422660"/>
            <w:r>
              <w:rPr>
                <w:rFonts w:ascii="Arial" w:hAnsi="Arial" w:cs="Arial"/>
                <w:bCs/>
              </w:rPr>
              <w:t>a.</w:t>
            </w:r>
            <w:r>
              <w:rPr>
                <w:rFonts w:ascii="Arial" w:hAnsi="Arial" w:cs="Arial"/>
                <w:bCs/>
              </w:rPr>
              <w:tab/>
              <w:t>Head/BO’ Accountants to</w:t>
            </w:r>
            <w:bookmarkStart w:id="8" w:name="_Hlk11340572"/>
            <w:r>
              <w:rPr>
                <w:rFonts w:ascii="Arial" w:hAnsi="Arial" w:cs="Arial"/>
                <w:bCs/>
              </w:rPr>
              <w:t xml:space="preserve"> </w:t>
            </w:r>
            <w:proofErr w:type="spellStart"/>
            <w:r>
              <w:rPr>
                <w:rFonts w:ascii="Arial" w:hAnsi="Arial" w:cs="Arial"/>
                <w:bCs/>
              </w:rPr>
              <w:t>recompute</w:t>
            </w:r>
            <w:proofErr w:type="spellEnd"/>
            <w:r>
              <w:rPr>
                <w:rFonts w:ascii="Arial" w:hAnsi="Arial" w:cs="Arial"/>
                <w:bCs/>
              </w:rPr>
              <w:t xml:space="preserve"> and adjust the Allowance for Impairment Losses to fairly present the Receivables and Other Assets accounts in the financial statements and to comply with the NTA policy on impairment losses;</w:t>
            </w:r>
          </w:p>
          <w:bookmarkEnd w:id="8"/>
          <w:p>
            <w:pPr>
              <w:pStyle w:val="NoSpacing"/>
              <w:rPr>
                <w:rFonts w:ascii="Arial" w:hAnsi="Arial" w:cs="Arial"/>
                <w:bCs/>
              </w:rPr>
            </w:pPr>
          </w:p>
          <w:p>
            <w:pPr>
              <w:pStyle w:val="NoSpacing"/>
              <w:tabs>
                <w:tab w:val="left" w:pos="362"/>
              </w:tabs>
              <w:ind w:left="-120" w:right="-7"/>
              <w:rPr>
                <w:rFonts w:ascii="Arial" w:hAnsi="Arial" w:cs="Arial"/>
                <w:bCs/>
              </w:rPr>
            </w:pPr>
            <w:r>
              <w:rPr>
                <w:rFonts w:ascii="Arial" w:hAnsi="Arial" w:cs="Arial"/>
                <w:bCs/>
              </w:rPr>
              <w:t>b.</w:t>
            </w:r>
            <w:r>
              <w:rPr>
                <w:rFonts w:ascii="Arial" w:hAnsi="Arial" w:cs="Arial"/>
                <w:bCs/>
              </w:rPr>
              <w:tab/>
              <w:t>Legal Officer to complete the documents of the Investment in Bonds amounting to P28.634 million including the efforts exerted to recover the proceeds of the bonds; and</w:t>
            </w:r>
          </w:p>
          <w:p>
            <w:pPr>
              <w:pStyle w:val="NoSpacing"/>
              <w:ind w:left="-110"/>
              <w:rPr>
                <w:rFonts w:ascii="Arial" w:hAnsi="Arial" w:cs="Arial"/>
                <w:bCs/>
              </w:rPr>
            </w:pPr>
          </w:p>
          <w:p>
            <w:pPr>
              <w:pStyle w:val="NoSpacing"/>
              <w:ind w:left="-110"/>
              <w:rPr>
                <w:rFonts w:ascii="Arial" w:hAnsi="Arial" w:cs="Arial"/>
                <w:bCs/>
              </w:rPr>
            </w:pPr>
          </w:p>
          <w:p>
            <w:pPr>
              <w:pStyle w:val="NoSpacing"/>
              <w:rPr>
                <w:rFonts w:ascii="Arial" w:hAnsi="Arial" w:cs="Arial"/>
                <w:bCs/>
              </w:rPr>
            </w:pPr>
          </w:p>
          <w:p>
            <w:pPr>
              <w:pStyle w:val="NoSpacing"/>
              <w:tabs>
                <w:tab w:val="left" w:pos="362"/>
              </w:tabs>
              <w:ind w:left="-120" w:right="-7"/>
              <w:rPr>
                <w:rFonts w:ascii="Arial" w:hAnsi="Arial" w:cs="Arial"/>
                <w:bCs/>
              </w:rPr>
            </w:pPr>
            <w:r>
              <w:rPr>
                <w:rFonts w:ascii="Arial" w:hAnsi="Arial" w:cs="Arial"/>
                <w:bCs/>
              </w:rPr>
              <w:t>c.</w:t>
            </w:r>
            <w:r>
              <w:rPr>
                <w:rFonts w:ascii="Arial" w:hAnsi="Arial" w:cs="Arial"/>
                <w:bCs/>
              </w:rPr>
              <w:tab/>
              <w:t xml:space="preserve">Concerned Branch Managers to make representations with the Department of </w:t>
            </w:r>
            <w:r>
              <w:rPr>
                <w:rFonts w:ascii="Arial" w:hAnsi="Arial" w:cs="Arial"/>
                <w:bCs/>
              </w:rPr>
              <w:lastRenderedPageBreak/>
              <w:t xml:space="preserve">Environment and Natural Resources (DENR) for the possible transfer of the reforestation project sites to the local government units and its </w:t>
            </w:r>
            <w:proofErr w:type="spellStart"/>
            <w:r>
              <w:rPr>
                <w:rFonts w:ascii="Arial" w:hAnsi="Arial" w:cs="Arial"/>
                <w:bCs/>
              </w:rPr>
              <w:t>derecognition</w:t>
            </w:r>
            <w:proofErr w:type="spellEnd"/>
            <w:r>
              <w:rPr>
                <w:rFonts w:ascii="Arial" w:hAnsi="Arial" w:cs="Arial"/>
                <w:bCs/>
              </w:rPr>
              <w:t xml:space="preserve"> from the books of NTA; and</w:t>
            </w:r>
          </w:p>
          <w:p>
            <w:pPr>
              <w:pStyle w:val="NoSpacing"/>
              <w:rPr>
                <w:rFonts w:ascii="Arial" w:hAnsi="Arial" w:cs="Arial"/>
                <w:bCs/>
              </w:rPr>
            </w:pPr>
          </w:p>
          <w:p>
            <w:pPr>
              <w:pStyle w:val="NoSpacing"/>
              <w:tabs>
                <w:tab w:val="left" w:pos="362"/>
              </w:tabs>
              <w:ind w:left="-120" w:right="-7"/>
              <w:rPr>
                <w:rFonts w:ascii="Arial" w:hAnsi="Arial" w:cs="Arial"/>
                <w:bCs/>
              </w:rPr>
            </w:pPr>
            <w:r>
              <w:rPr>
                <w:rFonts w:ascii="Arial" w:hAnsi="Arial" w:cs="Arial"/>
                <w:bCs/>
              </w:rPr>
              <w:t>d.</w:t>
            </w:r>
            <w:r>
              <w:rPr>
                <w:rFonts w:ascii="Arial" w:hAnsi="Arial" w:cs="Arial"/>
                <w:bCs/>
              </w:rPr>
              <w:tab/>
              <w:t>The responsible NTA officials to document all the efforts to collect and settle the dormant accounts to support the request for authority to write off the accounts to COA for those that are still not recovered after exhausting all possible remedies in accordance with COA Circular No. 2016-005.</w:t>
            </w:r>
          </w:p>
          <w:bookmarkEnd w:id="5"/>
          <w:bookmarkEnd w:id="6"/>
          <w:bookmarkEnd w:id="7"/>
          <w:p>
            <w:pPr>
              <w:pStyle w:val="NoSpacing"/>
              <w:spacing w:line="240" w:lineRule="auto"/>
              <w:ind w:left="-105"/>
              <w:rPr>
                <w:rFonts w:ascii="Arial" w:hAnsi="Arial" w:cs="Arial"/>
                <w:b/>
                <w:u w:val="single"/>
              </w:rPr>
            </w:pPr>
          </w:p>
        </w:tc>
        <w:tc>
          <w:tcPr>
            <w:tcW w:w="4070" w:type="dxa"/>
          </w:tcPr>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r>
              <w:rPr>
                <w:rFonts w:ascii="Arial" w:hAnsi="Arial" w:cs="Arial"/>
              </w:rPr>
              <w:t>Reiterated in Part II – Observations and Recommendations No. 1 of this Report.</w:t>
            </w:r>
          </w:p>
          <w:p>
            <w:pPr>
              <w:pStyle w:val="NoSpacing"/>
              <w:spacing w:line="240" w:lineRule="auto"/>
              <w:ind w:right="-108"/>
              <w:rPr>
                <w:rFonts w:ascii="Arial" w:hAnsi="Arial" w:cs="Arial"/>
              </w:rPr>
            </w:pPr>
          </w:p>
          <w:p>
            <w:pPr>
              <w:pStyle w:val="NoSpacing"/>
              <w:spacing w:line="240" w:lineRule="auto"/>
              <w:ind w:right="-108"/>
              <w:rPr>
                <w:rFonts w:ascii="Arial" w:hAnsi="Arial" w:cs="Arial"/>
              </w:rPr>
            </w:pPr>
          </w:p>
          <w:p>
            <w:pPr>
              <w:pStyle w:val="NoSpacing"/>
              <w:spacing w:line="240" w:lineRule="auto"/>
              <w:ind w:right="-108"/>
              <w:rPr>
                <w:rFonts w:ascii="Arial" w:hAnsi="Arial" w:cs="Arial"/>
              </w:rPr>
            </w:pPr>
          </w:p>
          <w:p>
            <w:pPr>
              <w:pStyle w:val="NoSpacing"/>
              <w:ind w:right="-43"/>
              <w:rPr>
                <w:rFonts w:ascii="Arial" w:eastAsiaTheme="majorEastAsia" w:hAnsi="Arial" w:cs="Arial"/>
                <w:b/>
                <w:bCs/>
                <w:color w:val="4472C4" w:themeColor="accent1"/>
              </w:rPr>
            </w:pPr>
          </w:p>
          <w:p>
            <w:pPr>
              <w:pStyle w:val="NoSpacing"/>
              <w:ind w:right="-43"/>
              <w:rPr>
                <w:rFonts w:ascii="Arial" w:eastAsiaTheme="majorEastAsia" w:hAnsi="Arial" w:cs="Arial"/>
                <w:b/>
                <w:bCs/>
                <w:color w:val="4472C4" w:themeColor="accent1"/>
              </w:rPr>
            </w:pPr>
          </w:p>
          <w:p>
            <w:pPr>
              <w:pStyle w:val="NoSpacing"/>
              <w:spacing w:line="240" w:lineRule="auto"/>
              <w:ind w:right="-108"/>
              <w:rPr>
                <w:rFonts w:ascii="Arial" w:hAnsi="Arial" w:cs="Arial"/>
              </w:rPr>
            </w:pPr>
            <w:r>
              <w:rPr>
                <w:rFonts w:ascii="Arial" w:hAnsi="Arial" w:cs="Arial"/>
              </w:rPr>
              <w:t>Partially Implemented.</w:t>
            </w:r>
          </w:p>
          <w:p>
            <w:pPr>
              <w:pStyle w:val="NoSpacing"/>
              <w:spacing w:line="240" w:lineRule="auto"/>
              <w:ind w:left="25" w:right="-108"/>
              <w:rPr>
                <w:rFonts w:ascii="Arial" w:hAnsi="Arial" w:cs="Arial"/>
              </w:rPr>
            </w:pPr>
          </w:p>
          <w:p>
            <w:pPr>
              <w:pStyle w:val="NoSpacing"/>
              <w:spacing w:line="240" w:lineRule="auto"/>
              <w:ind w:right="-108"/>
              <w:rPr>
                <w:rFonts w:ascii="Arial" w:hAnsi="Arial" w:cs="Arial"/>
              </w:rPr>
            </w:pPr>
            <w:r>
              <w:rPr>
                <w:rFonts w:ascii="Arial" w:hAnsi="Arial" w:cs="Arial"/>
              </w:rPr>
              <w:t xml:space="preserve">The authority of the two companies that traded the bonds have been revoked and their existence have been delisted with the SEC. </w:t>
            </w:r>
          </w:p>
          <w:p>
            <w:pPr>
              <w:pStyle w:val="NoSpacing"/>
              <w:spacing w:line="240" w:lineRule="auto"/>
              <w:ind w:right="-108"/>
              <w:rPr>
                <w:rFonts w:ascii="Arial" w:hAnsi="Arial" w:cs="Arial"/>
              </w:rPr>
            </w:pPr>
          </w:p>
          <w:p>
            <w:pPr>
              <w:pStyle w:val="NoSpacing"/>
              <w:spacing w:line="240" w:lineRule="auto"/>
              <w:ind w:right="-108"/>
              <w:rPr>
                <w:rFonts w:ascii="Arial" w:hAnsi="Arial" w:cs="Arial"/>
              </w:rPr>
            </w:pPr>
            <w:r>
              <w:rPr>
                <w:rFonts w:ascii="Arial" w:hAnsi="Arial" w:cs="Arial"/>
              </w:rPr>
              <w:t>Partially Implemented.</w:t>
            </w:r>
          </w:p>
          <w:p>
            <w:pPr>
              <w:pStyle w:val="NoSpacing"/>
              <w:spacing w:line="240" w:lineRule="auto"/>
              <w:ind w:right="-108"/>
              <w:rPr>
                <w:rFonts w:ascii="Arial" w:hAnsi="Arial" w:cs="Arial"/>
              </w:rPr>
            </w:pPr>
          </w:p>
          <w:p>
            <w:pPr>
              <w:pStyle w:val="NoSpacing"/>
              <w:spacing w:line="240" w:lineRule="auto"/>
              <w:ind w:right="-108"/>
              <w:rPr>
                <w:rFonts w:ascii="Arial" w:hAnsi="Arial" w:cs="Arial"/>
              </w:rPr>
            </w:pPr>
            <w:r>
              <w:rPr>
                <w:rFonts w:ascii="Arial" w:hAnsi="Arial" w:cs="Arial"/>
              </w:rPr>
              <w:lastRenderedPageBreak/>
              <w:t>Management is still securing authority from the DENR to cut the matured trees.</w:t>
            </w: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r>
              <w:rPr>
                <w:rFonts w:ascii="Arial" w:hAnsi="Arial" w:cs="Arial"/>
              </w:rPr>
              <w:t>Partially Implemented.</w:t>
            </w:r>
          </w:p>
          <w:p>
            <w:pPr>
              <w:pStyle w:val="NoSpacing"/>
              <w:spacing w:line="240" w:lineRule="auto"/>
              <w:ind w:left="25" w:right="-108"/>
              <w:rPr>
                <w:rFonts w:ascii="Arial" w:hAnsi="Arial" w:cs="Arial"/>
              </w:rPr>
            </w:pPr>
          </w:p>
          <w:p>
            <w:pPr>
              <w:pStyle w:val="NoSpacing"/>
              <w:ind w:left="25" w:right="-43"/>
              <w:rPr>
                <w:rFonts w:ascii="Arial" w:hAnsi="Arial" w:cs="Arial"/>
              </w:rPr>
            </w:pPr>
          </w:p>
          <w:p>
            <w:pPr>
              <w:pStyle w:val="NoSpacing"/>
              <w:ind w:left="25" w:right="-43"/>
              <w:rPr>
                <w:rFonts w:ascii="Arial" w:hAnsi="Arial" w:cs="Arial"/>
              </w:rPr>
            </w:pPr>
          </w:p>
          <w:p>
            <w:pPr>
              <w:pStyle w:val="NoSpacing"/>
              <w:ind w:right="-43"/>
              <w:rPr>
                <w:rFonts w:ascii="Arial" w:hAnsi="Arial" w:cs="Arial"/>
              </w:rPr>
            </w:pPr>
          </w:p>
          <w:p>
            <w:pPr>
              <w:pStyle w:val="NoSpacing"/>
              <w:spacing w:line="240" w:lineRule="auto"/>
              <w:ind w:left="25" w:right="-108"/>
              <w:rPr>
                <w:rFonts w:ascii="Arial" w:hAnsi="Arial" w:cs="Arial"/>
              </w:rPr>
            </w:pPr>
          </w:p>
        </w:tc>
      </w:tr>
      <w:tr>
        <w:trPr>
          <w:trHeight w:val="480"/>
        </w:trPr>
        <w:tc>
          <w:tcPr>
            <w:tcW w:w="4750" w:type="dxa"/>
          </w:tcPr>
          <w:p>
            <w:pPr>
              <w:pStyle w:val="NoSpacing"/>
              <w:numPr>
                <w:ilvl w:val="0"/>
                <w:numId w:val="4"/>
              </w:numPr>
              <w:tabs>
                <w:tab w:val="left" w:pos="362"/>
              </w:tabs>
              <w:spacing w:line="240" w:lineRule="auto"/>
              <w:ind w:left="-120" w:firstLine="0"/>
              <w:rPr>
                <w:rFonts w:ascii="Arial" w:hAnsi="Arial" w:cs="Arial"/>
                <w:bCs/>
                <w:i/>
                <w:color w:val="000000" w:themeColor="text1"/>
              </w:rPr>
            </w:pPr>
            <w:bookmarkStart w:id="9" w:name="_Hlk11350730"/>
            <w:r>
              <w:rPr>
                <w:rFonts w:ascii="Arial" w:hAnsi="Arial" w:cs="Arial"/>
                <w:bCs/>
                <w:color w:val="000000" w:themeColor="text1"/>
                <w:lang w:val="en-GB"/>
              </w:rPr>
              <w:lastRenderedPageBreak/>
              <w:t xml:space="preserve">The </w:t>
            </w:r>
            <w:r>
              <w:rPr>
                <w:rFonts w:ascii="Arial" w:hAnsi="Arial" w:cs="Arial"/>
                <w:bCs/>
                <w:color w:val="000000" w:themeColor="text1"/>
              </w:rPr>
              <w:t>Land account balance of P101.315 million per accounting records differed by P155.516 million from the property records.  The cost of the land derecognized from the books for the property sold was overstated by P1.129 million, thus, understating the Land account by the same amount.  Moreover, there were deficiencies which affect the ownership of NTA over its properties, while the vacant NTA properties are not protected against encroachment of informal settlers.  Thus, the existence and completeness of the Land account balance recognized in the financial statements as at December 31, 2018 cannot be ascertained.</w:t>
            </w:r>
          </w:p>
          <w:p>
            <w:pPr>
              <w:pStyle w:val="NoSpacing"/>
              <w:spacing w:line="240" w:lineRule="auto"/>
              <w:rPr>
                <w:rFonts w:ascii="Arial" w:hAnsi="Arial" w:cs="Arial"/>
                <w:bCs/>
                <w:color w:val="000000" w:themeColor="text1"/>
              </w:rPr>
            </w:pPr>
          </w:p>
          <w:p>
            <w:pPr>
              <w:pStyle w:val="NoSpacing"/>
              <w:spacing w:line="240" w:lineRule="auto"/>
              <w:ind w:left="-120"/>
              <w:rPr>
                <w:rFonts w:ascii="Arial" w:hAnsi="Arial" w:cs="Arial"/>
                <w:bCs/>
                <w:color w:val="000000" w:themeColor="text1"/>
              </w:rPr>
            </w:pPr>
            <w:r>
              <w:rPr>
                <w:rFonts w:ascii="Arial" w:hAnsi="Arial" w:cs="Arial"/>
                <w:bCs/>
                <w:color w:val="000000" w:themeColor="text1"/>
              </w:rPr>
              <w:t>We recommended that Management require the:</w:t>
            </w:r>
          </w:p>
          <w:p>
            <w:pPr>
              <w:pStyle w:val="NoSpacing"/>
              <w:spacing w:line="240" w:lineRule="auto"/>
              <w:rPr>
                <w:rFonts w:ascii="Arial" w:hAnsi="Arial" w:cs="Arial"/>
                <w:bCs/>
                <w:color w:val="000000" w:themeColor="text1"/>
              </w:rPr>
            </w:pPr>
          </w:p>
          <w:p>
            <w:pPr>
              <w:pStyle w:val="NoSpacing"/>
              <w:numPr>
                <w:ilvl w:val="0"/>
                <w:numId w:val="5"/>
              </w:numPr>
              <w:tabs>
                <w:tab w:val="left" w:pos="352"/>
              </w:tabs>
              <w:spacing w:line="240" w:lineRule="auto"/>
              <w:ind w:left="-110" w:firstLine="0"/>
              <w:rPr>
                <w:rFonts w:ascii="Arial" w:hAnsi="Arial" w:cs="Arial"/>
                <w:bCs/>
                <w:color w:val="000000" w:themeColor="text1"/>
              </w:rPr>
            </w:pPr>
            <w:bookmarkStart w:id="10" w:name="_Hlk6422875"/>
            <w:r>
              <w:rPr>
                <w:rFonts w:ascii="Arial" w:hAnsi="Arial" w:cs="Arial"/>
                <w:bCs/>
                <w:color w:val="000000" w:themeColor="text1"/>
              </w:rPr>
              <w:t>Inventory Committee to conduct physical inventory of all immovable properties recorded in the books of NTA including the properties located in CAR, Regions I and II that are included in their property listing and to check their existence and conditions, and prepare the Report on the Physical Count of PPE (RPCPPE);</w:t>
            </w:r>
          </w:p>
          <w:p>
            <w:pPr>
              <w:pStyle w:val="NoSpacing"/>
              <w:spacing w:line="240" w:lineRule="auto"/>
              <w:rPr>
                <w:rFonts w:ascii="Arial" w:hAnsi="Arial" w:cs="Arial"/>
                <w:bCs/>
                <w:color w:val="000000" w:themeColor="text1"/>
              </w:rPr>
            </w:pPr>
          </w:p>
          <w:p>
            <w:pPr>
              <w:pStyle w:val="NoSpacing"/>
              <w:spacing w:line="240" w:lineRule="auto"/>
              <w:rPr>
                <w:rFonts w:ascii="Arial" w:hAnsi="Arial" w:cs="Arial"/>
                <w:bCs/>
                <w:color w:val="000000" w:themeColor="text1"/>
              </w:rPr>
            </w:pPr>
          </w:p>
          <w:p>
            <w:pPr>
              <w:pStyle w:val="NoSpacing"/>
              <w:spacing w:line="240" w:lineRule="auto"/>
              <w:rPr>
                <w:rFonts w:ascii="Arial" w:hAnsi="Arial" w:cs="Arial"/>
                <w:bCs/>
                <w:color w:val="000000" w:themeColor="text1"/>
              </w:rPr>
            </w:pPr>
          </w:p>
          <w:p>
            <w:pPr>
              <w:pStyle w:val="NoSpacing"/>
              <w:spacing w:line="240" w:lineRule="auto"/>
              <w:rPr>
                <w:rFonts w:ascii="Arial" w:hAnsi="Arial" w:cs="Arial"/>
                <w:bCs/>
                <w:color w:val="000000" w:themeColor="text1"/>
              </w:rPr>
            </w:pPr>
          </w:p>
          <w:p>
            <w:pPr>
              <w:pStyle w:val="NoSpacing"/>
              <w:numPr>
                <w:ilvl w:val="0"/>
                <w:numId w:val="5"/>
              </w:numPr>
              <w:tabs>
                <w:tab w:val="left" w:pos="352"/>
              </w:tabs>
              <w:spacing w:line="240" w:lineRule="auto"/>
              <w:ind w:left="-120" w:firstLine="0"/>
              <w:rPr>
                <w:rFonts w:ascii="Arial" w:hAnsi="Arial" w:cs="Arial"/>
                <w:bCs/>
                <w:color w:val="000000" w:themeColor="text1"/>
              </w:rPr>
            </w:pPr>
            <w:r>
              <w:rPr>
                <w:rFonts w:ascii="Arial" w:hAnsi="Arial" w:cs="Arial"/>
                <w:bCs/>
                <w:color w:val="000000" w:themeColor="text1"/>
              </w:rPr>
              <w:t xml:space="preserve">Property and the Accounting Divisions to reconcile the RPCPPE with the accounting and property records to identify the missing and unrecorded properties in the books, as well as the NTA’s real properties in inventory listing that are inexistent and no longer in control of the NTA </w:t>
            </w:r>
            <w:r>
              <w:rPr>
                <w:rFonts w:ascii="Arial" w:hAnsi="Arial" w:cs="Arial"/>
                <w:bCs/>
                <w:color w:val="000000" w:themeColor="text1"/>
              </w:rPr>
              <w:lastRenderedPageBreak/>
              <w:t xml:space="preserve">to be dropped from the property records, subject to the approval of the NTA Board of Directors (BOD) and the pertinent laws, rules and regulations; </w:t>
            </w:r>
          </w:p>
          <w:p>
            <w:pPr>
              <w:pStyle w:val="NoSpacing"/>
              <w:tabs>
                <w:tab w:val="left" w:pos="352"/>
              </w:tabs>
              <w:spacing w:line="240" w:lineRule="auto"/>
              <w:rPr>
                <w:rFonts w:ascii="Arial" w:eastAsiaTheme="majorEastAsia" w:hAnsi="Arial" w:cs="Arial"/>
                <w:b/>
                <w:bCs/>
                <w:color w:val="000000" w:themeColor="text1"/>
              </w:rPr>
            </w:pPr>
          </w:p>
          <w:p>
            <w:pPr>
              <w:pStyle w:val="NoSpacing"/>
              <w:numPr>
                <w:ilvl w:val="0"/>
                <w:numId w:val="5"/>
              </w:numPr>
              <w:tabs>
                <w:tab w:val="left" w:pos="342"/>
              </w:tabs>
              <w:spacing w:line="240" w:lineRule="auto"/>
              <w:ind w:left="-120" w:firstLine="0"/>
              <w:rPr>
                <w:rFonts w:ascii="Arial" w:hAnsi="Arial" w:cs="Arial"/>
                <w:bCs/>
                <w:color w:val="000000" w:themeColor="text1"/>
              </w:rPr>
            </w:pPr>
            <w:r>
              <w:rPr>
                <w:rFonts w:ascii="Arial" w:hAnsi="Arial" w:cs="Arial"/>
                <w:bCs/>
                <w:color w:val="000000" w:themeColor="text1"/>
              </w:rPr>
              <w:t>The Accountants of NTA CO and branches to:</w:t>
            </w:r>
          </w:p>
          <w:p>
            <w:pPr>
              <w:pStyle w:val="NoSpacing"/>
              <w:spacing w:line="240" w:lineRule="auto"/>
              <w:ind w:left="-120"/>
              <w:rPr>
                <w:rFonts w:ascii="Arial" w:hAnsi="Arial" w:cs="Arial"/>
                <w:bCs/>
                <w:color w:val="000000" w:themeColor="text1"/>
              </w:rPr>
            </w:pPr>
          </w:p>
          <w:p>
            <w:pPr>
              <w:pStyle w:val="NoSpacing"/>
              <w:tabs>
                <w:tab w:val="left" w:pos="708"/>
              </w:tabs>
              <w:spacing w:line="240" w:lineRule="auto"/>
              <w:ind w:left="352"/>
              <w:rPr>
                <w:rFonts w:ascii="Arial" w:hAnsi="Arial" w:cs="Arial"/>
                <w:bCs/>
                <w:color w:val="000000" w:themeColor="text1"/>
              </w:rPr>
            </w:pPr>
            <w:r>
              <w:rPr>
                <w:rFonts w:ascii="Arial" w:hAnsi="Arial" w:cs="Arial"/>
                <w:bCs/>
                <w:color w:val="000000" w:themeColor="text1"/>
              </w:rPr>
              <w:t xml:space="preserve">c.1   Check where the properties should be recorded, whether in the books of CO or in the branches, and together with the other reconciling items from the results of the reconciliation in letter b, make the necessary adjustments; </w:t>
            </w:r>
          </w:p>
          <w:p>
            <w:pPr>
              <w:pStyle w:val="NoSpacing"/>
              <w:spacing w:line="240" w:lineRule="auto"/>
              <w:rPr>
                <w:rFonts w:ascii="Arial" w:hAnsi="Arial" w:cs="Arial"/>
                <w:bCs/>
                <w:color w:val="000000" w:themeColor="text1"/>
              </w:rPr>
            </w:pPr>
          </w:p>
          <w:p>
            <w:pPr>
              <w:pStyle w:val="NoSpacing"/>
              <w:tabs>
                <w:tab w:val="left" w:pos="708"/>
              </w:tabs>
              <w:spacing w:line="240" w:lineRule="auto"/>
              <w:ind w:left="352"/>
              <w:rPr>
                <w:rFonts w:ascii="Arial" w:hAnsi="Arial" w:cs="Arial"/>
                <w:bCs/>
                <w:color w:val="000000" w:themeColor="text1"/>
              </w:rPr>
            </w:pPr>
            <w:r>
              <w:rPr>
                <w:rFonts w:ascii="Arial" w:hAnsi="Arial" w:cs="Arial"/>
                <w:bCs/>
                <w:color w:val="000000" w:themeColor="text1"/>
              </w:rPr>
              <w:t xml:space="preserve">c.2   Effect the necessary adjustments on the recording of the sale of land in </w:t>
            </w:r>
            <w:proofErr w:type="spellStart"/>
            <w:r>
              <w:rPr>
                <w:rFonts w:ascii="Arial" w:hAnsi="Arial" w:cs="Arial"/>
                <w:bCs/>
                <w:color w:val="000000" w:themeColor="text1"/>
              </w:rPr>
              <w:t>Paco</w:t>
            </w:r>
            <w:proofErr w:type="spellEnd"/>
            <w:r>
              <w:rPr>
                <w:rFonts w:ascii="Arial" w:hAnsi="Arial" w:cs="Arial"/>
                <w:bCs/>
                <w:color w:val="000000" w:themeColor="text1"/>
              </w:rPr>
              <w:t>, Manila and the installment payments received;</w:t>
            </w:r>
          </w:p>
          <w:p>
            <w:pPr>
              <w:pStyle w:val="NoSpacing"/>
              <w:tabs>
                <w:tab w:val="left" w:pos="708"/>
              </w:tabs>
              <w:spacing w:line="240" w:lineRule="auto"/>
              <w:ind w:left="352"/>
              <w:rPr>
                <w:rFonts w:ascii="Arial" w:hAnsi="Arial" w:cs="Arial"/>
                <w:bCs/>
                <w:color w:val="000000" w:themeColor="text1"/>
              </w:rPr>
            </w:pPr>
          </w:p>
          <w:p>
            <w:pPr>
              <w:pStyle w:val="NoSpacing"/>
              <w:tabs>
                <w:tab w:val="left" w:pos="708"/>
              </w:tabs>
              <w:spacing w:line="240" w:lineRule="auto"/>
              <w:ind w:left="352"/>
              <w:rPr>
                <w:rFonts w:ascii="Arial" w:hAnsi="Arial" w:cs="Arial"/>
                <w:bCs/>
                <w:color w:val="000000" w:themeColor="text1"/>
              </w:rPr>
            </w:pPr>
          </w:p>
          <w:p>
            <w:pPr>
              <w:pStyle w:val="NoSpacing"/>
              <w:tabs>
                <w:tab w:val="left" w:pos="708"/>
              </w:tabs>
              <w:spacing w:line="240" w:lineRule="auto"/>
              <w:ind w:left="352"/>
              <w:rPr>
                <w:rFonts w:ascii="Arial" w:hAnsi="Arial" w:cs="Arial"/>
                <w:bCs/>
                <w:color w:val="000000" w:themeColor="text1"/>
              </w:rPr>
            </w:pPr>
          </w:p>
          <w:p>
            <w:pPr>
              <w:pStyle w:val="NoSpacing"/>
              <w:spacing w:line="240" w:lineRule="auto"/>
              <w:rPr>
                <w:rFonts w:ascii="Arial" w:hAnsi="Arial" w:cs="Arial"/>
                <w:bCs/>
                <w:color w:val="000000" w:themeColor="text1"/>
              </w:rPr>
            </w:pPr>
          </w:p>
          <w:p>
            <w:pPr>
              <w:pStyle w:val="NoSpacing"/>
              <w:numPr>
                <w:ilvl w:val="0"/>
                <w:numId w:val="5"/>
              </w:numPr>
              <w:tabs>
                <w:tab w:val="left" w:pos="342"/>
              </w:tabs>
              <w:spacing w:line="240" w:lineRule="auto"/>
              <w:ind w:left="-120" w:firstLine="0"/>
              <w:rPr>
                <w:rFonts w:ascii="Arial" w:hAnsi="Arial" w:cs="Arial"/>
                <w:bCs/>
                <w:color w:val="000000" w:themeColor="text1"/>
              </w:rPr>
            </w:pPr>
            <w:r>
              <w:rPr>
                <w:rFonts w:ascii="Arial" w:hAnsi="Arial" w:cs="Arial"/>
                <w:bCs/>
                <w:color w:val="000000" w:themeColor="text1"/>
              </w:rPr>
              <w:t xml:space="preserve">The Property Officer to facilitate the transfer and titling of the land where the NTA </w:t>
            </w:r>
            <w:proofErr w:type="spellStart"/>
            <w:r>
              <w:rPr>
                <w:rFonts w:ascii="Arial" w:hAnsi="Arial" w:cs="Arial"/>
                <w:bCs/>
                <w:color w:val="000000" w:themeColor="text1"/>
              </w:rPr>
              <w:t>Pangasinan</w:t>
            </w:r>
            <w:proofErr w:type="spellEnd"/>
            <w:r>
              <w:rPr>
                <w:rFonts w:ascii="Arial" w:hAnsi="Arial" w:cs="Arial"/>
                <w:bCs/>
                <w:color w:val="000000" w:themeColor="text1"/>
              </w:rPr>
              <w:t xml:space="preserve"> Branch is situated in the name of the Branch; </w:t>
            </w:r>
          </w:p>
          <w:p>
            <w:pPr>
              <w:pStyle w:val="NoSpacing"/>
              <w:tabs>
                <w:tab w:val="left" w:pos="342"/>
              </w:tabs>
              <w:spacing w:line="240" w:lineRule="auto"/>
              <w:ind w:left="-120"/>
              <w:rPr>
                <w:rFonts w:ascii="Arial" w:hAnsi="Arial" w:cs="Arial"/>
                <w:bCs/>
                <w:color w:val="000000" w:themeColor="text1"/>
              </w:rPr>
            </w:pPr>
          </w:p>
          <w:p>
            <w:pPr>
              <w:pStyle w:val="NoSpacing"/>
              <w:tabs>
                <w:tab w:val="left" w:pos="342"/>
              </w:tabs>
              <w:spacing w:line="240" w:lineRule="auto"/>
              <w:ind w:left="-120"/>
              <w:rPr>
                <w:rFonts w:ascii="Arial" w:hAnsi="Arial" w:cs="Arial"/>
                <w:bCs/>
                <w:color w:val="000000" w:themeColor="text1"/>
              </w:rPr>
            </w:pPr>
          </w:p>
          <w:p>
            <w:pPr>
              <w:pStyle w:val="NoSpacing"/>
              <w:numPr>
                <w:ilvl w:val="0"/>
                <w:numId w:val="5"/>
              </w:numPr>
              <w:tabs>
                <w:tab w:val="left" w:pos="342"/>
              </w:tabs>
              <w:spacing w:line="240" w:lineRule="auto"/>
              <w:ind w:left="-120" w:firstLine="0"/>
              <w:rPr>
                <w:rFonts w:ascii="Arial" w:hAnsi="Arial" w:cs="Arial"/>
                <w:bCs/>
                <w:color w:val="000000" w:themeColor="text1"/>
              </w:rPr>
            </w:pPr>
            <w:r>
              <w:rPr>
                <w:rFonts w:ascii="Arial" w:hAnsi="Arial" w:cs="Arial"/>
                <w:bCs/>
                <w:color w:val="000000" w:themeColor="text1"/>
              </w:rPr>
              <w:t>The Legal Officer to make representation before the court on all the cases where the ownership of NTA’s properties is being questioned; and</w:t>
            </w:r>
          </w:p>
          <w:p>
            <w:pPr>
              <w:pStyle w:val="NoSpacing"/>
              <w:spacing w:line="240" w:lineRule="auto"/>
              <w:ind w:left="-20"/>
              <w:rPr>
                <w:rFonts w:ascii="Arial" w:hAnsi="Arial" w:cs="Arial"/>
                <w:bCs/>
                <w:color w:val="000000" w:themeColor="text1"/>
              </w:rPr>
            </w:pPr>
          </w:p>
          <w:p>
            <w:pPr>
              <w:pStyle w:val="NoSpacing"/>
              <w:spacing w:line="240" w:lineRule="auto"/>
              <w:ind w:left="-20"/>
              <w:rPr>
                <w:rFonts w:ascii="Arial" w:hAnsi="Arial" w:cs="Arial"/>
                <w:bCs/>
                <w:color w:val="000000" w:themeColor="text1"/>
              </w:rPr>
            </w:pPr>
          </w:p>
          <w:p>
            <w:pPr>
              <w:pStyle w:val="NoSpacing"/>
              <w:spacing w:line="240" w:lineRule="auto"/>
              <w:ind w:left="-20"/>
              <w:rPr>
                <w:rFonts w:ascii="Arial" w:hAnsi="Arial" w:cs="Arial"/>
                <w:bCs/>
                <w:color w:val="000000" w:themeColor="text1"/>
              </w:rPr>
            </w:pPr>
          </w:p>
          <w:p>
            <w:pPr>
              <w:pStyle w:val="NoSpacing"/>
              <w:spacing w:line="240" w:lineRule="auto"/>
              <w:rPr>
                <w:rFonts w:ascii="Arial" w:eastAsiaTheme="majorEastAsia" w:hAnsi="Arial" w:cs="Arial"/>
                <w:b/>
                <w:bCs/>
                <w:color w:val="000000" w:themeColor="text1"/>
              </w:rPr>
            </w:pPr>
          </w:p>
          <w:p>
            <w:pPr>
              <w:pStyle w:val="NoSpacing"/>
              <w:numPr>
                <w:ilvl w:val="0"/>
                <w:numId w:val="5"/>
              </w:numPr>
              <w:tabs>
                <w:tab w:val="left" w:pos="342"/>
              </w:tabs>
              <w:spacing w:line="240" w:lineRule="auto"/>
              <w:ind w:left="-120" w:firstLine="0"/>
              <w:rPr>
                <w:rFonts w:ascii="Arial" w:hAnsi="Arial" w:cs="Arial"/>
                <w:bCs/>
                <w:color w:val="000000" w:themeColor="text1"/>
              </w:rPr>
            </w:pPr>
            <w:r>
              <w:rPr>
                <w:rFonts w:ascii="Arial" w:hAnsi="Arial" w:cs="Arial"/>
                <w:bCs/>
                <w:color w:val="000000" w:themeColor="text1"/>
              </w:rPr>
              <w:t xml:space="preserve">Responsible officials to settle the upfront payment of P10 million to Philippine Deposit Insurance Corporation (PDIC) to be able to distribute the lots in Golden Leaf Village, </w:t>
            </w:r>
            <w:proofErr w:type="spellStart"/>
            <w:r>
              <w:rPr>
                <w:rFonts w:ascii="Arial" w:hAnsi="Arial" w:cs="Arial"/>
                <w:bCs/>
                <w:color w:val="000000" w:themeColor="text1"/>
              </w:rPr>
              <w:t>Montalban</w:t>
            </w:r>
            <w:proofErr w:type="spellEnd"/>
            <w:r>
              <w:rPr>
                <w:rFonts w:ascii="Arial" w:hAnsi="Arial" w:cs="Arial"/>
                <w:bCs/>
                <w:color w:val="000000" w:themeColor="text1"/>
              </w:rPr>
              <w:t>, Rizal to the employees of NTA.</w:t>
            </w:r>
          </w:p>
          <w:bookmarkEnd w:id="9"/>
          <w:bookmarkEnd w:id="10"/>
          <w:p>
            <w:pPr>
              <w:pStyle w:val="NoSpacing"/>
              <w:spacing w:line="240" w:lineRule="auto"/>
              <w:ind w:left="-105"/>
              <w:rPr>
                <w:rFonts w:ascii="Arial" w:hAnsi="Arial" w:cs="Arial"/>
                <w:b/>
                <w:u w:val="single"/>
              </w:rPr>
            </w:pPr>
          </w:p>
        </w:tc>
        <w:tc>
          <w:tcPr>
            <w:tcW w:w="4070" w:type="dxa"/>
          </w:tcPr>
          <w:p>
            <w:pPr>
              <w:pStyle w:val="NoSpacing"/>
              <w:spacing w:line="240" w:lineRule="auto"/>
              <w:ind w:right="-108"/>
              <w:rPr>
                <w:rFonts w:ascii="Arial" w:hAnsi="Arial" w:cs="Arial"/>
              </w:rPr>
            </w:pPr>
          </w:p>
          <w:p>
            <w:pPr>
              <w:pStyle w:val="NoSpacing"/>
              <w:spacing w:line="240" w:lineRule="auto"/>
              <w:ind w:right="-108"/>
              <w:rPr>
                <w:rFonts w:ascii="Arial" w:hAnsi="Arial" w:cs="Arial"/>
              </w:rPr>
            </w:pPr>
          </w:p>
          <w:p>
            <w:pPr>
              <w:pStyle w:val="NoSpacing"/>
              <w:spacing w:line="240" w:lineRule="auto"/>
              <w:ind w:right="-108"/>
              <w:rPr>
                <w:rFonts w:ascii="Arial" w:hAnsi="Arial" w:cs="Arial"/>
              </w:rPr>
            </w:pPr>
          </w:p>
          <w:p>
            <w:pPr>
              <w:pStyle w:val="NoSpacing"/>
              <w:spacing w:line="240" w:lineRule="auto"/>
              <w:ind w:right="-108"/>
              <w:rPr>
                <w:rFonts w:ascii="Arial" w:hAnsi="Arial" w:cs="Arial"/>
              </w:rPr>
            </w:pPr>
          </w:p>
          <w:p>
            <w:pPr>
              <w:pStyle w:val="NoSpacing"/>
              <w:spacing w:line="240" w:lineRule="auto"/>
              <w:ind w:right="-108"/>
              <w:rPr>
                <w:rFonts w:ascii="Arial" w:hAnsi="Arial" w:cs="Arial"/>
              </w:rPr>
            </w:pPr>
          </w:p>
          <w:p>
            <w:pPr>
              <w:pStyle w:val="NoSpacing"/>
              <w:spacing w:line="240" w:lineRule="auto"/>
              <w:ind w:right="-108"/>
              <w:rPr>
                <w:rFonts w:ascii="Arial" w:hAnsi="Arial" w:cs="Arial"/>
              </w:rPr>
            </w:pPr>
          </w:p>
          <w:p>
            <w:pPr>
              <w:pStyle w:val="NoSpacing"/>
              <w:spacing w:line="240" w:lineRule="auto"/>
              <w:ind w:right="-108"/>
              <w:rPr>
                <w:rFonts w:ascii="Arial" w:hAnsi="Arial" w:cs="Arial"/>
              </w:rPr>
            </w:pPr>
          </w:p>
          <w:p>
            <w:pPr>
              <w:pStyle w:val="NoSpacing"/>
              <w:spacing w:line="240" w:lineRule="auto"/>
              <w:ind w:right="-108"/>
              <w:rPr>
                <w:rFonts w:ascii="Arial" w:hAnsi="Arial" w:cs="Arial"/>
              </w:rPr>
            </w:pPr>
          </w:p>
          <w:p>
            <w:pPr>
              <w:pStyle w:val="NoSpacing"/>
              <w:spacing w:line="240" w:lineRule="auto"/>
              <w:ind w:right="-108"/>
              <w:rPr>
                <w:rFonts w:ascii="Arial" w:hAnsi="Arial" w:cs="Arial"/>
              </w:rPr>
            </w:pPr>
          </w:p>
          <w:p>
            <w:pPr>
              <w:pStyle w:val="NoSpacing"/>
              <w:spacing w:line="240" w:lineRule="auto"/>
              <w:ind w:right="-108"/>
              <w:rPr>
                <w:rFonts w:ascii="Arial" w:hAnsi="Arial" w:cs="Arial"/>
              </w:rPr>
            </w:pPr>
          </w:p>
          <w:p>
            <w:pPr>
              <w:pStyle w:val="NoSpacing"/>
              <w:spacing w:line="240" w:lineRule="auto"/>
              <w:ind w:right="-108"/>
              <w:rPr>
                <w:rFonts w:ascii="Arial" w:hAnsi="Arial" w:cs="Arial"/>
              </w:rPr>
            </w:pPr>
          </w:p>
          <w:p>
            <w:pPr>
              <w:pStyle w:val="NoSpacing"/>
              <w:spacing w:line="240" w:lineRule="auto"/>
              <w:ind w:right="-108"/>
              <w:rPr>
                <w:rFonts w:ascii="Arial" w:hAnsi="Arial" w:cs="Arial"/>
              </w:rPr>
            </w:pPr>
          </w:p>
          <w:p>
            <w:pPr>
              <w:pStyle w:val="NoSpacing"/>
              <w:spacing w:line="240" w:lineRule="auto"/>
              <w:ind w:right="-108"/>
              <w:rPr>
                <w:rFonts w:ascii="Arial" w:hAnsi="Arial" w:cs="Arial"/>
              </w:rPr>
            </w:pPr>
          </w:p>
          <w:p>
            <w:pPr>
              <w:pStyle w:val="NoSpacing"/>
              <w:spacing w:line="240" w:lineRule="auto"/>
              <w:ind w:right="-108"/>
              <w:rPr>
                <w:rFonts w:ascii="Arial" w:hAnsi="Arial" w:cs="Arial"/>
              </w:rPr>
            </w:pPr>
          </w:p>
          <w:p>
            <w:pPr>
              <w:pStyle w:val="NoSpacing"/>
              <w:spacing w:line="240" w:lineRule="auto"/>
              <w:ind w:right="-108"/>
              <w:rPr>
                <w:rFonts w:ascii="Arial" w:hAnsi="Arial" w:cs="Arial"/>
              </w:rPr>
            </w:pPr>
          </w:p>
          <w:p>
            <w:pPr>
              <w:pStyle w:val="NoSpacing"/>
              <w:spacing w:line="240" w:lineRule="auto"/>
              <w:ind w:right="-108"/>
              <w:rPr>
                <w:rFonts w:ascii="Arial" w:hAnsi="Arial" w:cs="Arial"/>
              </w:rPr>
            </w:pPr>
          </w:p>
          <w:p>
            <w:pPr>
              <w:pStyle w:val="NoSpacing"/>
              <w:spacing w:line="240" w:lineRule="auto"/>
              <w:ind w:right="-108"/>
              <w:rPr>
                <w:rFonts w:ascii="Arial" w:hAnsi="Arial" w:cs="Arial"/>
              </w:rPr>
            </w:pPr>
          </w:p>
          <w:p>
            <w:pPr>
              <w:pStyle w:val="NoSpacing"/>
              <w:spacing w:line="240" w:lineRule="auto"/>
              <w:ind w:right="-108"/>
              <w:rPr>
                <w:rFonts w:ascii="Arial" w:hAnsi="Arial" w:cs="Arial"/>
              </w:rPr>
            </w:pPr>
          </w:p>
          <w:p>
            <w:pPr>
              <w:pStyle w:val="NoSpacing"/>
              <w:spacing w:line="240" w:lineRule="auto"/>
              <w:ind w:right="-108"/>
              <w:rPr>
                <w:rFonts w:ascii="Arial" w:hAnsi="Arial" w:cs="Arial"/>
              </w:rPr>
            </w:pPr>
          </w:p>
          <w:p>
            <w:pPr>
              <w:pStyle w:val="NoSpacing"/>
              <w:spacing w:line="240" w:lineRule="auto"/>
              <w:ind w:right="-108"/>
              <w:rPr>
                <w:rFonts w:ascii="Arial" w:hAnsi="Arial" w:cs="Arial"/>
              </w:rPr>
            </w:pPr>
            <w:r>
              <w:rPr>
                <w:rFonts w:ascii="Arial" w:hAnsi="Arial" w:cs="Arial"/>
              </w:rPr>
              <w:t>Partially Implemented.</w:t>
            </w:r>
          </w:p>
          <w:p>
            <w:pPr>
              <w:pStyle w:val="NoSpacing"/>
              <w:spacing w:line="240" w:lineRule="auto"/>
              <w:ind w:left="25" w:right="-108"/>
              <w:rPr>
                <w:rFonts w:ascii="Arial" w:hAnsi="Arial" w:cs="Arial"/>
              </w:rPr>
            </w:pPr>
          </w:p>
          <w:p>
            <w:pPr>
              <w:pStyle w:val="NoSpacing"/>
              <w:spacing w:line="240" w:lineRule="auto"/>
              <w:ind w:left="25" w:right="-43"/>
              <w:rPr>
                <w:rFonts w:ascii="Arial" w:hAnsi="Arial" w:cs="Arial"/>
              </w:rPr>
            </w:pPr>
            <w:r>
              <w:rPr>
                <w:rFonts w:ascii="Arial" w:hAnsi="Arial" w:cs="Arial"/>
              </w:rPr>
              <w:t>The NTA Asset and Inventory Committee was created under Special Order (SO) No. 0535 dated July 3, 2019 and reconstituted under SO No. 0555 dated December 29, 2020 due to the retirement from government service of several members.  However, no physical inventory of real properties was conducted in CY 2020.</w:t>
            </w:r>
          </w:p>
          <w:p>
            <w:pPr>
              <w:pStyle w:val="NoSpacing"/>
              <w:spacing w:line="240" w:lineRule="auto"/>
              <w:ind w:left="25" w:right="-43"/>
              <w:rPr>
                <w:rFonts w:ascii="Arial" w:hAnsi="Arial" w:cs="Arial"/>
              </w:rPr>
            </w:pPr>
          </w:p>
          <w:p>
            <w:pPr>
              <w:pStyle w:val="NoSpacing"/>
              <w:spacing w:line="240" w:lineRule="auto"/>
              <w:ind w:right="-43"/>
              <w:rPr>
                <w:rFonts w:ascii="Arial" w:hAnsi="Arial" w:cs="Arial"/>
              </w:rPr>
            </w:pPr>
            <w:r>
              <w:rPr>
                <w:rFonts w:ascii="Arial" w:hAnsi="Arial" w:cs="Arial"/>
              </w:rPr>
              <w:t>Partially Implemented.</w:t>
            </w:r>
          </w:p>
          <w:p>
            <w:pPr>
              <w:pStyle w:val="NoSpacing"/>
              <w:spacing w:line="240" w:lineRule="auto"/>
              <w:ind w:right="-43"/>
              <w:rPr>
                <w:rFonts w:ascii="Arial" w:hAnsi="Arial" w:cs="Arial"/>
              </w:rPr>
            </w:pPr>
          </w:p>
          <w:p>
            <w:pPr>
              <w:pStyle w:val="NoSpacing"/>
              <w:spacing w:line="240" w:lineRule="auto"/>
              <w:ind w:right="-43"/>
              <w:rPr>
                <w:rFonts w:ascii="Arial" w:hAnsi="Arial" w:cs="Arial"/>
              </w:rPr>
            </w:pPr>
            <w:r>
              <w:rPr>
                <w:rFonts w:ascii="Arial" w:hAnsi="Arial" w:cs="Arial"/>
              </w:rPr>
              <w:t xml:space="preserve">The Property and Accounting Divisions are currently in the process of reconciling their records with the RPCPPE. </w:t>
            </w:r>
          </w:p>
          <w:p>
            <w:pPr>
              <w:pStyle w:val="NoSpacing"/>
              <w:spacing w:line="240" w:lineRule="auto"/>
              <w:ind w:left="25" w:right="-43"/>
              <w:rPr>
                <w:rFonts w:ascii="Arial" w:hAnsi="Arial" w:cs="Arial"/>
              </w:rPr>
            </w:pPr>
          </w:p>
          <w:p>
            <w:pPr>
              <w:pStyle w:val="NoSpacing"/>
              <w:spacing w:line="240" w:lineRule="auto"/>
              <w:ind w:left="25" w:right="-43"/>
              <w:rPr>
                <w:rFonts w:ascii="Arial" w:hAnsi="Arial" w:cs="Arial"/>
              </w:rPr>
            </w:pPr>
          </w:p>
          <w:p>
            <w:pPr>
              <w:pStyle w:val="NoSpacing"/>
              <w:spacing w:line="240" w:lineRule="auto"/>
              <w:ind w:left="25" w:right="-43"/>
              <w:rPr>
                <w:rFonts w:ascii="Arial" w:hAnsi="Arial" w:cs="Arial"/>
              </w:rPr>
            </w:pPr>
          </w:p>
          <w:p>
            <w:pPr>
              <w:pStyle w:val="NoSpacing"/>
              <w:spacing w:line="240" w:lineRule="auto"/>
              <w:ind w:right="-43"/>
              <w:rPr>
                <w:rFonts w:ascii="Arial" w:eastAsiaTheme="majorEastAsia" w:hAnsi="Arial" w:cs="Arial"/>
                <w:b/>
                <w:bCs/>
                <w:color w:val="4472C4" w:themeColor="accent1"/>
              </w:rPr>
            </w:pPr>
          </w:p>
          <w:p>
            <w:pPr>
              <w:pStyle w:val="NoSpacing"/>
              <w:spacing w:line="240" w:lineRule="auto"/>
              <w:ind w:right="-43"/>
              <w:rPr>
                <w:rFonts w:ascii="Arial" w:eastAsiaTheme="majorEastAsia" w:hAnsi="Arial" w:cs="Arial"/>
                <w:b/>
                <w:bCs/>
                <w:color w:val="4472C4" w:themeColor="accent1"/>
              </w:rPr>
            </w:pPr>
          </w:p>
          <w:p>
            <w:pPr>
              <w:pStyle w:val="NoSpacing"/>
              <w:spacing w:line="240" w:lineRule="auto"/>
              <w:ind w:right="-43"/>
              <w:rPr>
                <w:rFonts w:ascii="Arial" w:hAnsi="Arial" w:cs="Arial"/>
              </w:rPr>
            </w:pPr>
            <w:r>
              <w:rPr>
                <w:rFonts w:ascii="Arial" w:hAnsi="Arial" w:cs="Arial"/>
              </w:rPr>
              <w:t>Not Implemented.</w:t>
            </w:r>
          </w:p>
          <w:p>
            <w:pPr>
              <w:pStyle w:val="NoSpacing"/>
              <w:spacing w:line="240" w:lineRule="auto"/>
              <w:ind w:right="-43"/>
              <w:rPr>
                <w:rFonts w:ascii="Arial" w:hAnsi="Arial" w:cs="Arial"/>
              </w:rPr>
            </w:pPr>
          </w:p>
          <w:p>
            <w:pPr>
              <w:pStyle w:val="NoSpacing"/>
              <w:spacing w:line="240" w:lineRule="auto"/>
              <w:ind w:right="-43"/>
              <w:rPr>
                <w:rFonts w:ascii="Arial" w:hAnsi="Arial" w:cs="Arial"/>
              </w:rPr>
            </w:pPr>
          </w:p>
          <w:p>
            <w:pPr>
              <w:pStyle w:val="NoSpacing"/>
              <w:spacing w:line="240" w:lineRule="auto"/>
              <w:ind w:right="-43"/>
              <w:rPr>
                <w:rFonts w:ascii="Arial" w:hAnsi="Arial" w:cs="Arial"/>
              </w:rPr>
            </w:pPr>
            <w:r>
              <w:rPr>
                <w:rFonts w:ascii="Arial" w:hAnsi="Arial" w:cs="Arial"/>
              </w:rPr>
              <w:t>Physical inventory of immovable assets was not conducted in CY 2020.</w:t>
            </w:r>
          </w:p>
          <w:p>
            <w:pPr>
              <w:pStyle w:val="NoSpacing"/>
              <w:spacing w:line="240" w:lineRule="auto"/>
              <w:ind w:left="25" w:right="-43"/>
              <w:rPr>
                <w:rFonts w:ascii="Arial" w:hAnsi="Arial" w:cs="Arial"/>
              </w:rPr>
            </w:pPr>
          </w:p>
          <w:p>
            <w:pPr>
              <w:pStyle w:val="NoSpacing"/>
              <w:spacing w:line="240" w:lineRule="auto"/>
              <w:ind w:right="-43"/>
              <w:rPr>
                <w:rFonts w:ascii="Arial" w:hAnsi="Arial" w:cs="Arial"/>
              </w:rPr>
            </w:pPr>
          </w:p>
          <w:p>
            <w:pPr>
              <w:pStyle w:val="NoSpacing"/>
              <w:spacing w:line="240" w:lineRule="auto"/>
              <w:ind w:right="-43"/>
              <w:rPr>
                <w:rFonts w:ascii="Arial" w:hAnsi="Arial" w:cs="Arial"/>
              </w:rPr>
            </w:pPr>
          </w:p>
          <w:p>
            <w:pPr>
              <w:pStyle w:val="NoSpacing"/>
              <w:spacing w:line="240" w:lineRule="auto"/>
              <w:ind w:right="-43"/>
              <w:rPr>
                <w:rFonts w:ascii="Arial" w:hAnsi="Arial" w:cs="Arial"/>
              </w:rPr>
            </w:pPr>
          </w:p>
          <w:p>
            <w:pPr>
              <w:pStyle w:val="NoSpacing"/>
              <w:spacing w:line="240" w:lineRule="auto"/>
              <w:ind w:right="-43"/>
              <w:rPr>
                <w:rFonts w:ascii="Arial" w:hAnsi="Arial" w:cs="Arial"/>
              </w:rPr>
            </w:pPr>
          </w:p>
          <w:p>
            <w:pPr>
              <w:pStyle w:val="NoSpacing"/>
              <w:spacing w:line="240" w:lineRule="auto"/>
              <w:ind w:right="-43"/>
              <w:rPr>
                <w:rFonts w:ascii="Arial" w:hAnsi="Arial" w:cs="Arial"/>
              </w:rPr>
            </w:pPr>
            <w:r>
              <w:rPr>
                <w:rFonts w:ascii="Arial" w:hAnsi="Arial" w:cs="Arial"/>
              </w:rPr>
              <w:t>Partially Implemented.</w:t>
            </w:r>
          </w:p>
          <w:p>
            <w:pPr>
              <w:pStyle w:val="NoSpacing"/>
              <w:spacing w:line="240" w:lineRule="auto"/>
              <w:ind w:right="-43"/>
              <w:rPr>
                <w:rFonts w:ascii="Arial" w:hAnsi="Arial" w:cs="Arial"/>
              </w:rPr>
            </w:pPr>
          </w:p>
          <w:p>
            <w:pPr>
              <w:pStyle w:val="NoSpacing"/>
              <w:spacing w:line="240" w:lineRule="auto"/>
              <w:ind w:right="-43"/>
              <w:rPr>
                <w:rFonts w:ascii="Arial" w:hAnsi="Arial" w:cs="Arial"/>
              </w:rPr>
            </w:pPr>
            <w:r>
              <w:rPr>
                <w:rFonts w:ascii="Arial" w:hAnsi="Arial" w:cs="Arial"/>
              </w:rPr>
              <w:t>The unrecognized gain on sale of the property was recorded under JEV No. 2276456 dated December 2019 but the property is not yet derecognized in the Accounting and Property records.</w:t>
            </w:r>
          </w:p>
          <w:p>
            <w:pPr>
              <w:pStyle w:val="NoSpacing"/>
              <w:spacing w:line="240" w:lineRule="auto"/>
              <w:ind w:right="-43"/>
              <w:rPr>
                <w:rFonts w:ascii="Arial" w:hAnsi="Arial" w:cs="Arial"/>
              </w:rPr>
            </w:pPr>
          </w:p>
          <w:p>
            <w:pPr>
              <w:pStyle w:val="NoSpacing"/>
              <w:spacing w:line="240" w:lineRule="auto"/>
              <w:ind w:right="-108"/>
              <w:rPr>
                <w:rFonts w:ascii="Arial" w:hAnsi="Arial" w:cs="Arial"/>
              </w:rPr>
            </w:pPr>
            <w:r>
              <w:rPr>
                <w:rFonts w:ascii="Arial" w:hAnsi="Arial" w:cs="Arial"/>
              </w:rPr>
              <w:t>Partially Implemented.</w:t>
            </w:r>
          </w:p>
          <w:p>
            <w:pPr>
              <w:pStyle w:val="NoSpacing"/>
              <w:spacing w:line="240" w:lineRule="auto"/>
              <w:ind w:right="-108"/>
              <w:rPr>
                <w:rFonts w:ascii="Arial" w:hAnsi="Arial" w:cs="Arial"/>
              </w:rPr>
            </w:pPr>
          </w:p>
          <w:p>
            <w:pPr>
              <w:pStyle w:val="NoSpacing"/>
              <w:spacing w:line="240" w:lineRule="auto"/>
              <w:ind w:right="-108"/>
              <w:rPr>
                <w:rFonts w:ascii="Arial" w:hAnsi="Arial" w:cs="Arial"/>
              </w:rPr>
            </w:pPr>
            <w:r>
              <w:rPr>
                <w:rFonts w:ascii="Arial" w:hAnsi="Arial" w:cs="Arial"/>
              </w:rPr>
              <w:t>Management coordinated to the owner for the possible transfer of the property to the NTA.</w:t>
            </w:r>
          </w:p>
          <w:p>
            <w:pPr>
              <w:pStyle w:val="NoSpacing"/>
              <w:spacing w:line="240" w:lineRule="auto"/>
              <w:ind w:right="-43"/>
              <w:rPr>
                <w:rFonts w:ascii="Arial" w:hAnsi="Arial" w:cs="Arial"/>
              </w:rPr>
            </w:pPr>
          </w:p>
          <w:p>
            <w:pPr>
              <w:pStyle w:val="NoSpacing"/>
              <w:spacing w:line="240" w:lineRule="auto"/>
              <w:ind w:right="-108"/>
              <w:rPr>
                <w:rFonts w:ascii="Arial" w:hAnsi="Arial" w:cs="Arial"/>
              </w:rPr>
            </w:pPr>
            <w:r>
              <w:rPr>
                <w:rFonts w:ascii="Arial" w:hAnsi="Arial" w:cs="Arial"/>
              </w:rPr>
              <w:t>Partially Implemented.</w:t>
            </w:r>
          </w:p>
          <w:p>
            <w:pPr>
              <w:pStyle w:val="NoSpacing"/>
              <w:spacing w:line="240" w:lineRule="auto"/>
              <w:ind w:right="-108"/>
              <w:rPr>
                <w:rFonts w:ascii="Arial" w:hAnsi="Arial" w:cs="Arial"/>
              </w:rPr>
            </w:pPr>
          </w:p>
          <w:p>
            <w:pPr>
              <w:pStyle w:val="NoSpacing"/>
              <w:spacing w:line="240" w:lineRule="auto"/>
              <w:ind w:right="-108"/>
              <w:rPr>
                <w:rFonts w:ascii="Arial" w:hAnsi="Arial" w:cs="Arial"/>
              </w:rPr>
            </w:pPr>
            <w:r>
              <w:rPr>
                <w:rFonts w:ascii="Arial" w:hAnsi="Arial" w:cs="Arial"/>
              </w:rPr>
              <w:t xml:space="preserve">The Legal Officer has already made representation in court on the ownership of NTA properties specifically the properties located in Las </w:t>
            </w:r>
            <w:proofErr w:type="spellStart"/>
            <w:r>
              <w:rPr>
                <w:rFonts w:ascii="Arial" w:hAnsi="Arial" w:cs="Arial"/>
              </w:rPr>
              <w:t>Piñas</w:t>
            </w:r>
            <w:proofErr w:type="spellEnd"/>
            <w:r>
              <w:rPr>
                <w:rFonts w:ascii="Arial" w:hAnsi="Arial" w:cs="Arial"/>
              </w:rPr>
              <w:t xml:space="preserve"> and </w:t>
            </w:r>
            <w:proofErr w:type="spellStart"/>
            <w:r>
              <w:rPr>
                <w:rFonts w:ascii="Arial" w:hAnsi="Arial" w:cs="Arial"/>
              </w:rPr>
              <w:t>Paco</w:t>
            </w:r>
            <w:proofErr w:type="spellEnd"/>
            <w:r>
              <w:rPr>
                <w:rFonts w:ascii="Arial" w:hAnsi="Arial" w:cs="Arial"/>
              </w:rPr>
              <w:t>.</w:t>
            </w:r>
          </w:p>
          <w:p>
            <w:pPr>
              <w:pStyle w:val="NoSpacing"/>
              <w:spacing w:line="240" w:lineRule="auto"/>
              <w:ind w:right="-108"/>
              <w:rPr>
                <w:rFonts w:ascii="Arial" w:hAnsi="Arial" w:cs="Arial"/>
              </w:rPr>
            </w:pPr>
          </w:p>
          <w:p>
            <w:pPr>
              <w:pStyle w:val="NoSpacing"/>
              <w:spacing w:line="240" w:lineRule="auto"/>
              <w:ind w:right="-43"/>
              <w:rPr>
                <w:rFonts w:ascii="Arial" w:hAnsi="Arial" w:cs="Arial"/>
              </w:rPr>
            </w:pPr>
            <w:r>
              <w:rPr>
                <w:rFonts w:ascii="Arial" w:hAnsi="Arial" w:cs="Arial"/>
              </w:rPr>
              <w:t>Partially Implemented.</w:t>
            </w:r>
          </w:p>
          <w:p>
            <w:pPr>
              <w:pStyle w:val="NoSpacing"/>
              <w:spacing w:line="240" w:lineRule="auto"/>
              <w:ind w:right="-108"/>
              <w:rPr>
                <w:rFonts w:ascii="Arial" w:hAnsi="Arial" w:cs="Arial"/>
              </w:rPr>
            </w:pPr>
          </w:p>
          <w:p>
            <w:pPr>
              <w:pStyle w:val="NoSpacing"/>
              <w:spacing w:line="240" w:lineRule="auto"/>
              <w:ind w:left="25" w:right="-43"/>
              <w:rPr>
                <w:rFonts w:ascii="Arial" w:hAnsi="Arial" w:cs="Arial"/>
              </w:rPr>
            </w:pPr>
            <w:r>
              <w:rPr>
                <w:rFonts w:ascii="Arial" w:hAnsi="Arial" w:cs="Arial"/>
              </w:rPr>
              <w:t>Management initiated the request for renegotiation for possible condonation of penalties and reduction in interest rate.</w:t>
            </w:r>
          </w:p>
          <w:p>
            <w:pPr>
              <w:pStyle w:val="NoSpacing"/>
              <w:spacing w:line="240" w:lineRule="auto"/>
              <w:ind w:left="25" w:right="-43"/>
              <w:rPr>
                <w:rFonts w:ascii="Arial" w:hAnsi="Arial" w:cs="Arial"/>
              </w:rPr>
            </w:pPr>
          </w:p>
        </w:tc>
      </w:tr>
      <w:tr>
        <w:trPr>
          <w:trHeight w:val="480"/>
        </w:trPr>
        <w:tc>
          <w:tcPr>
            <w:tcW w:w="4750" w:type="dxa"/>
          </w:tcPr>
          <w:p>
            <w:pPr>
              <w:pStyle w:val="NoSpacing"/>
              <w:numPr>
                <w:ilvl w:val="0"/>
                <w:numId w:val="4"/>
              </w:numPr>
              <w:tabs>
                <w:tab w:val="left" w:pos="375"/>
              </w:tabs>
              <w:spacing w:line="240" w:lineRule="auto"/>
              <w:ind w:left="-120" w:firstLine="0"/>
              <w:rPr>
                <w:rFonts w:ascii="Arial" w:hAnsi="Arial" w:cs="Arial"/>
                <w:color w:val="000000" w:themeColor="text1"/>
              </w:rPr>
            </w:pPr>
            <w:r>
              <w:rPr>
                <w:rFonts w:ascii="Arial" w:hAnsi="Arial" w:cs="Arial"/>
                <w:color w:val="000000" w:themeColor="text1"/>
              </w:rPr>
              <w:lastRenderedPageBreak/>
              <w:t xml:space="preserve">The Property, Plant and Equipment (PPE) account, excluding Land, with a carrying value of P376.603 million as at December 31, 2018 is not reliable due to: (a) discrepancy of P34.170 million between the accounting and property records of NTA–CO; (b) recognition and </w:t>
            </w:r>
            <w:r>
              <w:rPr>
                <w:rFonts w:ascii="Arial" w:hAnsi="Arial" w:cs="Arial"/>
                <w:color w:val="000000" w:themeColor="text1"/>
              </w:rPr>
              <w:lastRenderedPageBreak/>
              <w:t xml:space="preserve">depreciation of PPE that are not in accordance with </w:t>
            </w:r>
            <w:bookmarkStart w:id="11" w:name="_Hlk11340517"/>
            <w:r>
              <w:rPr>
                <w:rFonts w:ascii="Arial" w:hAnsi="Arial" w:cs="Arial"/>
                <w:color w:val="000000" w:themeColor="text1"/>
              </w:rPr>
              <w:t xml:space="preserve">paragraphs 14, 19 and 71 </w:t>
            </w:r>
            <w:bookmarkEnd w:id="11"/>
            <w:r>
              <w:rPr>
                <w:rFonts w:ascii="Arial" w:hAnsi="Arial" w:cs="Arial"/>
                <w:color w:val="000000" w:themeColor="text1"/>
              </w:rPr>
              <w:t>of PPSAS 17; and (c) inclusion of properties sold thru public auction and   semi-expendable items in the PPE account of NTA Isabela Branch. In addition, deficiencies in the conduct of physical count of PPE cast doubt on the existence and completeness of assets in the RPCPPE.</w:t>
            </w:r>
          </w:p>
          <w:p>
            <w:pPr>
              <w:pStyle w:val="NoSpacing"/>
              <w:spacing w:line="240" w:lineRule="auto"/>
              <w:rPr>
                <w:rFonts w:ascii="Arial" w:hAnsi="Arial" w:cs="Arial"/>
                <w:color w:val="000000" w:themeColor="text1"/>
              </w:rPr>
            </w:pPr>
          </w:p>
          <w:p>
            <w:pPr>
              <w:pStyle w:val="NoSpacing"/>
              <w:spacing w:line="240" w:lineRule="auto"/>
              <w:ind w:left="-120"/>
              <w:rPr>
                <w:rFonts w:ascii="Arial" w:hAnsi="Arial" w:cs="Arial"/>
                <w:color w:val="000000" w:themeColor="text1"/>
              </w:rPr>
            </w:pPr>
            <w:r>
              <w:rPr>
                <w:rFonts w:ascii="Arial" w:hAnsi="Arial" w:cs="Arial"/>
                <w:color w:val="000000" w:themeColor="text1"/>
              </w:rPr>
              <w:t>We recommended that Management require:</w:t>
            </w:r>
          </w:p>
          <w:p>
            <w:pPr>
              <w:pStyle w:val="NoSpacing"/>
              <w:rPr>
                <w:rFonts w:ascii="Arial" w:hAnsi="Arial" w:cs="Arial"/>
                <w:color w:val="000000" w:themeColor="text1"/>
              </w:rPr>
            </w:pPr>
          </w:p>
          <w:p>
            <w:pPr>
              <w:pStyle w:val="NoSpacing"/>
              <w:numPr>
                <w:ilvl w:val="0"/>
                <w:numId w:val="6"/>
              </w:numPr>
              <w:tabs>
                <w:tab w:val="left" w:pos="370"/>
              </w:tabs>
              <w:spacing w:line="240" w:lineRule="auto"/>
              <w:ind w:left="-120" w:firstLine="0"/>
              <w:rPr>
                <w:rFonts w:ascii="Arial" w:hAnsi="Arial" w:cs="Arial"/>
                <w:color w:val="000000" w:themeColor="text1"/>
              </w:rPr>
            </w:pPr>
            <w:r>
              <w:rPr>
                <w:rFonts w:ascii="Arial" w:hAnsi="Arial" w:cs="Arial"/>
                <w:color w:val="000000" w:themeColor="text1"/>
              </w:rPr>
              <w:t>The Accounting and Property Divisions to reconcile the accounting and property records after physical inventory taking and effect the necessary adjustments in the books and/or property records where appropriate, if any, to come up with correct balances of the PPE accounts;</w:t>
            </w:r>
          </w:p>
          <w:p>
            <w:pPr>
              <w:pStyle w:val="NoSpacing"/>
              <w:rPr>
                <w:rFonts w:ascii="Arial" w:hAnsi="Arial" w:cs="Arial"/>
                <w:color w:val="000000" w:themeColor="text1"/>
              </w:rPr>
            </w:pPr>
          </w:p>
          <w:p>
            <w:pPr>
              <w:pStyle w:val="NoSpacing"/>
              <w:numPr>
                <w:ilvl w:val="0"/>
                <w:numId w:val="6"/>
              </w:numPr>
              <w:tabs>
                <w:tab w:val="left" w:pos="370"/>
              </w:tabs>
              <w:spacing w:line="240" w:lineRule="auto"/>
              <w:ind w:left="-120" w:firstLine="0"/>
              <w:rPr>
                <w:rFonts w:ascii="Arial" w:hAnsi="Arial" w:cs="Arial"/>
                <w:color w:val="000000" w:themeColor="text1"/>
              </w:rPr>
            </w:pPr>
            <w:r>
              <w:rPr>
                <w:rFonts w:ascii="Arial" w:hAnsi="Arial" w:cs="Arial"/>
                <w:color w:val="000000" w:themeColor="text1"/>
              </w:rPr>
              <w:t>The Accounting Division to comply with the provisions of the PPSAS as to the recognition and depreciation of assets to correct any misstatements;</w:t>
            </w:r>
          </w:p>
          <w:p>
            <w:pPr>
              <w:pStyle w:val="NoSpacing"/>
              <w:tabs>
                <w:tab w:val="left" w:pos="880"/>
              </w:tabs>
              <w:spacing w:line="240" w:lineRule="auto"/>
              <w:rPr>
                <w:rFonts w:ascii="Arial" w:hAnsi="Arial" w:cs="Arial"/>
              </w:rPr>
            </w:pPr>
          </w:p>
        </w:tc>
        <w:tc>
          <w:tcPr>
            <w:tcW w:w="4070" w:type="dxa"/>
          </w:tcPr>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ind w:right="-43"/>
              <w:rPr>
                <w:rFonts w:ascii="Arial" w:hAnsi="Arial" w:cs="Arial"/>
              </w:rPr>
            </w:pPr>
            <w:r>
              <w:rPr>
                <w:rFonts w:ascii="Arial" w:hAnsi="Arial" w:cs="Arial"/>
              </w:rPr>
              <w:t>Partially Implemented.</w:t>
            </w:r>
          </w:p>
          <w:p>
            <w:pPr>
              <w:pStyle w:val="NoSpacing"/>
              <w:ind w:left="25" w:right="-43"/>
              <w:rPr>
                <w:rFonts w:ascii="Arial" w:hAnsi="Arial" w:cs="Arial"/>
              </w:rPr>
            </w:pPr>
          </w:p>
          <w:p>
            <w:pPr>
              <w:pStyle w:val="NoSpacing"/>
              <w:spacing w:line="240" w:lineRule="auto"/>
              <w:ind w:right="-43"/>
              <w:rPr>
                <w:rFonts w:ascii="Arial" w:hAnsi="Arial" w:cs="Arial"/>
              </w:rPr>
            </w:pPr>
            <w:r>
              <w:rPr>
                <w:rFonts w:ascii="Arial" w:hAnsi="Arial" w:cs="Arial"/>
              </w:rPr>
              <w:t xml:space="preserve">The Property and Accounting Divisions are currently in the process of reconciling their records with the RPCPPE. </w:t>
            </w:r>
          </w:p>
          <w:p>
            <w:pPr>
              <w:pStyle w:val="NoSpacing"/>
              <w:ind w:left="25" w:right="-43"/>
              <w:rPr>
                <w:rFonts w:ascii="Arial" w:hAnsi="Arial" w:cs="Arial"/>
              </w:rPr>
            </w:pPr>
          </w:p>
          <w:p>
            <w:pPr>
              <w:pStyle w:val="NoSpacing"/>
              <w:ind w:left="25" w:right="-43"/>
              <w:rPr>
                <w:rFonts w:ascii="Arial" w:hAnsi="Arial" w:cs="Arial"/>
              </w:rPr>
            </w:pPr>
          </w:p>
          <w:p>
            <w:pPr>
              <w:pStyle w:val="NoSpacing"/>
              <w:ind w:left="25" w:right="-43"/>
              <w:rPr>
                <w:rFonts w:ascii="Arial" w:hAnsi="Arial" w:cs="Arial"/>
              </w:rPr>
            </w:pPr>
            <w:r>
              <w:rPr>
                <w:rFonts w:ascii="Arial" w:hAnsi="Arial" w:cs="Arial"/>
              </w:rPr>
              <w:t>Partially Implemented.</w:t>
            </w:r>
          </w:p>
          <w:p>
            <w:pPr>
              <w:pStyle w:val="NoSpacing"/>
              <w:ind w:left="25" w:right="-43"/>
              <w:rPr>
                <w:rFonts w:ascii="Arial" w:hAnsi="Arial" w:cs="Arial"/>
              </w:rPr>
            </w:pPr>
          </w:p>
          <w:p>
            <w:pPr>
              <w:pStyle w:val="NoSpacing"/>
              <w:ind w:left="25" w:right="-43"/>
              <w:rPr>
                <w:rFonts w:ascii="Arial" w:hAnsi="Arial" w:cs="Arial"/>
              </w:rPr>
            </w:pPr>
            <w:r>
              <w:rPr>
                <w:rFonts w:ascii="Arial" w:hAnsi="Arial" w:cs="Arial"/>
              </w:rPr>
              <w:t>Depreciation of assets for CY 2020 were recorded according to PPSAS.</w:t>
            </w:r>
          </w:p>
          <w:p>
            <w:pPr>
              <w:pStyle w:val="NoSpacing"/>
              <w:ind w:left="25" w:right="-43"/>
              <w:rPr>
                <w:rFonts w:ascii="Arial" w:hAnsi="Arial" w:cs="Arial"/>
              </w:rPr>
            </w:pPr>
          </w:p>
        </w:tc>
      </w:tr>
      <w:tr>
        <w:trPr>
          <w:trHeight w:val="57"/>
        </w:trPr>
        <w:tc>
          <w:tcPr>
            <w:tcW w:w="4750" w:type="dxa"/>
          </w:tcPr>
          <w:p>
            <w:pPr>
              <w:pStyle w:val="NoSpacing"/>
              <w:numPr>
                <w:ilvl w:val="0"/>
                <w:numId w:val="4"/>
              </w:numPr>
              <w:tabs>
                <w:tab w:val="left" w:pos="375"/>
              </w:tabs>
              <w:spacing w:line="240" w:lineRule="auto"/>
              <w:ind w:left="-120" w:firstLine="0"/>
              <w:rPr>
                <w:rFonts w:ascii="Arial" w:hAnsi="Arial" w:cs="Arial"/>
                <w:color w:val="000000" w:themeColor="text1"/>
              </w:rPr>
            </w:pPr>
            <w:bookmarkStart w:id="12" w:name="_Hlk6423389"/>
            <w:r>
              <w:rPr>
                <w:rFonts w:ascii="Arial" w:hAnsi="Arial" w:cs="Arial"/>
                <w:color w:val="000000" w:themeColor="text1"/>
              </w:rPr>
              <w:lastRenderedPageBreak/>
              <w:t>The Accounts Receivable – Trade as at December 31, 2018 totaling P5.287 million were not confirmed by two customers while two customers with accounts receivable of P19.298 million did not reply to the confirmation and receivables from four customers in NTA – CO and NTA La Union Branch have abnormal/negative balances amounting to P63</w:t>
            </w:r>
            <w:proofErr w:type="gramStart"/>
            <w:r>
              <w:rPr>
                <w:rFonts w:ascii="Arial" w:hAnsi="Arial" w:cs="Arial"/>
                <w:color w:val="000000" w:themeColor="text1"/>
              </w:rPr>
              <w:t>,825</w:t>
            </w:r>
            <w:proofErr w:type="gramEnd"/>
            <w:r>
              <w:rPr>
                <w:rFonts w:ascii="Arial" w:hAnsi="Arial" w:cs="Arial"/>
                <w:color w:val="000000" w:themeColor="text1"/>
              </w:rPr>
              <w:t>, thereby affecting the fair presentation of the account in the financial statements.</w:t>
            </w:r>
          </w:p>
          <w:p>
            <w:pPr>
              <w:pStyle w:val="NoSpacing"/>
              <w:spacing w:line="240" w:lineRule="auto"/>
              <w:rPr>
                <w:rFonts w:ascii="Arial" w:hAnsi="Arial" w:cs="Arial"/>
                <w:color w:val="000000" w:themeColor="text1"/>
              </w:rPr>
            </w:pPr>
          </w:p>
          <w:p>
            <w:pPr>
              <w:pStyle w:val="NoSpacing"/>
              <w:spacing w:line="240" w:lineRule="auto"/>
              <w:ind w:left="-120"/>
              <w:rPr>
                <w:rFonts w:ascii="Arial" w:hAnsi="Arial" w:cs="Arial"/>
                <w:bCs/>
                <w:color w:val="000000" w:themeColor="text1"/>
              </w:rPr>
            </w:pPr>
            <w:r>
              <w:rPr>
                <w:rFonts w:ascii="Arial" w:hAnsi="Arial" w:cs="Arial"/>
                <w:bCs/>
                <w:color w:val="000000" w:themeColor="text1"/>
              </w:rPr>
              <w:t>We recommended that Management require the Accountant to conduct complete and thorough verification of the Accounts Receivable including those with abnormal balances, reconcile the balances of the P5.287 million with the customers’ records/books, and prepare the necessary adjustment to arrive at correct balances.</w:t>
            </w:r>
            <w:bookmarkEnd w:id="12"/>
          </w:p>
          <w:p>
            <w:pPr>
              <w:pStyle w:val="NoSpacing"/>
              <w:spacing w:line="240" w:lineRule="auto"/>
              <w:ind w:left="-120"/>
              <w:rPr>
                <w:rFonts w:ascii="Arial" w:hAnsi="Arial" w:cs="Arial"/>
              </w:rPr>
            </w:pPr>
          </w:p>
        </w:tc>
        <w:tc>
          <w:tcPr>
            <w:tcW w:w="4070" w:type="dxa"/>
          </w:tcPr>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r>
              <w:rPr>
                <w:rFonts w:ascii="Arial" w:hAnsi="Arial" w:cs="Arial"/>
              </w:rPr>
              <w:t>Partially Implemented.</w:t>
            </w: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r>
              <w:rPr>
                <w:rFonts w:ascii="Arial" w:hAnsi="Arial" w:cs="Arial"/>
              </w:rPr>
              <w:t>The negative balance of P23</w:t>
            </w:r>
            <w:proofErr w:type="gramStart"/>
            <w:r>
              <w:rPr>
                <w:rFonts w:ascii="Arial" w:hAnsi="Arial" w:cs="Arial"/>
              </w:rPr>
              <w:t>,037</w:t>
            </w:r>
            <w:proofErr w:type="gramEnd"/>
            <w:r>
              <w:rPr>
                <w:rFonts w:ascii="Arial" w:hAnsi="Arial" w:cs="Arial"/>
              </w:rPr>
              <w:t xml:space="preserve"> for NTA CO was adjusted per JEV No. 2276102 dated February 2019.</w:t>
            </w:r>
          </w:p>
          <w:p>
            <w:pPr>
              <w:pStyle w:val="NoSpacing"/>
              <w:spacing w:line="240" w:lineRule="auto"/>
              <w:ind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tc>
      </w:tr>
      <w:tr>
        <w:trPr>
          <w:trHeight w:val="480"/>
        </w:trPr>
        <w:tc>
          <w:tcPr>
            <w:tcW w:w="4750" w:type="dxa"/>
          </w:tcPr>
          <w:p>
            <w:pPr>
              <w:pStyle w:val="NoSpacing"/>
              <w:ind w:left="-105"/>
              <w:rPr>
                <w:rFonts w:ascii="Arial" w:hAnsi="Arial" w:cs="Arial"/>
                <w:bCs/>
                <w:i/>
                <w:iCs/>
                <w:color w:val="000000" w:themeColor="text1"/>
              </w:rPr>
            </w:pPr>
            <w:r>
              <w:rPr>
                <w:rFonts w:ascii="Arial" w:hAnsi="Arial" w:cs="Arial"/>
                <w:bCs/>
                <w:i/>
                <w:iCs/>
                <w:color w:val="000000" w:themeColor="text1"/>
              </w:rPr>
              <w:t xml:space="preserve">Irrigation Support Project for Small Tobacco </w:t>
            </w:r>
            <w:r>
              <w:rPr>
                <w:rFonts w:ascii="Arial" w:hAnsi="Arial" w:cs="Arial"/>
                <w:i/>
              </w:rPr>
              <w:t>Farmers</w:t>
            </w:r>
            <w:r>
              <w:rPr>
                <w:rFonts w:ascii="Arial" w:hAnsi="Arial" w:cs="Arial"/>
                <w:bCs/>
                <w:i/>
                <w:iCs/>
                <w:color w:val="000000" w:themeColor="text1"/>
              </w:rPr>
              <w:t xml:space="preserve"> (ISPSTFs)</w:t>
            </w:r>
          </w:p>
          <w:p>
            <w:pPr>
              <w:pStyle w:val="NoSpacing"/>
              <w:spacing w:line="240" w:lineRule="auto"/>
              <w:rPr>
                <w:rFonts w:ascii="Arial" w:hAnsi="Arial" w:cs="Arial"/>
                <w:bCs/>
                <w:color w:val="000000" w:themeColor="text1"/>
              </w:rPr>
            </w:pPr>
          </w:p>
          <w:p>
            <w:pPr>
              <w:pStyle w:val="NoSpacing"/>
              <w:numPr>
                <w:ilvl w:val="0"/>
                <w:numId w:val="4"/>
              </w:numPr>
              <w:tabs>
                <w:tab w:val="left" w:pos="375"/>
              </w:tabs>
              <w:spacing w:line="240" w:lineRule="auto"/>
              <w:ind w:left="-120" w:firstLine="0"/>
              <w:rPr>
                <w:rFonts w:ascii="Arial" w:hAnsi="Arial" w:cs="Arial"/>
                <w:bCs/>
                <w:color w:val="000000" w:themeColor="text1"/>
              </w:rPr>
            </w:pPr>
            <w:r>
              <w:rPr>
                <w:rFonts w:ascii="Arial" w:hAnsi="Arial" w:cs="Arial"/>
                <w:bCs/>
                <w:color w:val="000000" w:themeColor="text1"/>
              </w:rPr>
              <w:t xml:space="preserve">Funds totaling P86.769 million transferred to 27 Local Government Units (LGUs) remained unliquidated despite the project completion due </w:t>
            </w:r>
            <w:r>
              <w:rPr>
                <w:rFonts w:ascii="Arial" w:hAnsi="Arial" w:cs="Arial"/>
                <w:bCs/>
                <w:color w:val="000000" w:themeColor="text1"/>
              </w:rPr>
              <w:lastRenderedPageBreak/>
              <w:t>to the lack of monitoring by the Management of the completed projects in the Municipalities.  Likewise, the unutilized funds totaling P398</w:t>
            </w:r>
            <w:proofErr w:type="gramStart"/>
            <w:r>
              <w:rPr>
                <w:rFonts w:ascii="Arial" w:hAnsi="Arial" w:cs="Arial"/>
                <w:bCs/>
                <w:color w:val="000000" w:themeColor="text1"/>
              </w:rPr>
              <w:t>,352</w:t>
            </w:r>
            <w:proofErr w:type="gramEnd"/>
            <w:r>
              <w:rPr>
                <w:rFonts w:ascii="Arial" w:hAnsi="Arial" w:cs="Arial"/>
                <w:bCs/>
                <w:color w:val="000000" w:themeColor="text1"/>
              </w:rPr>
              <w:t xml:space="preserve"> were not returned to NTA by 16 LGUs, while a total of P13.937 million unreleased funds to LGUs remained under the custody of NTA and were not reverted back to the </w:t>
            </w:r>
            <w:proofErr w:type="spellStart"/>
            <w:r>
              <w:rPr>
                <w:rFonts w:ascii="Arial" w:hAnsi="Arial" w:cs="Arial"/>
                <w:bCs/>
                <w:color w:val="000000" w:themeColor="text1"/>
              </w:rPr>
              <w:t>BTr</w:t>
            </w:r>
            <w:proofErr w:type="spellEnd"/>
            <w:r>
              <w:rPr>
                <w:rFonts w:ascii="Arial" w:hAnsi="Arial" w:cs="Arial"/>
                <w:bCs/>
                <w:color w:val="000000" w:themeColor="text1"/>
              </w:rPr>
              <w:t xml:space="preserve">, contrary to Item 4.9 of COA Circular No. 94-013. </w:t>
            </w:r>
          </w:p>
          <w:p>
            <w:pPr>
              <w:pStyle w:val="NoSpacing"/>
              <w:spacing w:line="240" w:lineRule="auto"/>
              <w:rPr>
                <w:rFonts w:ascii="Arial" w:hAnsi="Arial" w:cs="Arial"/>
                <w:bCs/>
                <w:color w:val="000000" w:themeColor="text1"/>
              </w:rPr>
            </w:pPr>
          </w:p>
          <w:p>
            <w:pPr>
              <w:pStyle w:val="NoSpacing"/>
              <w:spacing w:line="240" w:lineRule="auto"/>
              <w:ind w:left="-120"/>
              <w:rPr>
                <w:rFonts w:ascii="Arial" w:hAnsi="Arial" w:cs="Arial"/>
                <w:bCs/>
                <w:color w:val="000000" w:themeColor="text1"/>
              </w:rPr>
            </w:pPr>
            <w:r>
              <w:rPr>
                <w:rFonts w:ascii="Arial" w:hAnsi="Arial" w:cs="Arial"/>
                <w:bCs/>
                <w:color w:val="000000" w:themeColor="text1"/>
              </w:rPr>
              <w:t>We recommended that Management:</w:t>
            </w:r>
          </w:p>
          <w:p>
            <w:pPr>
              <w:pStyle w:val="NoSpacing"/>
              <w:spacing w:line="240" w:lineRule="auto"/>
              <w:ind w:left="-120"/>
              <w:rPr>
                <w:rFonts w:ascii="Arial" w:hAnsi="Arial" w:cs="Arial"/>
                <w:bCs/>
                <w:color w:val="000000" w:themeColor="text1"/>
              </w:rPr>
            </w:pPr>
          </w:p>
          <w:p>
            <w:pPr>
              <w:pStyle w:val="NoSpacing"/>
              <w:numPr>
                <w:ilvl w:val="0"/>
                <w:numId w:val="7"/>
              </w:numPr>
              <w:tabs>
                <w:tab w:val="left" w:pos="380"/>
              </w:tabs>
              <w:spacing w:line="240" w:lineRule="auto"/>
              <w:ind w:left="-120" w:firstLine="0"/>
              <w:rPr>
                <w:rFonts w:ascii="Arial" w:hAnsi="Arial" w:cs="Arial"/>
                <w:bCs/>
                <w:color w:val="000000" w:themeColor="text1"/>
              </w:rPr>
            </w:pPr>
            <w:r>
              <w:rPr>
                <w:rFonts w:ascii="Arial" w:hAnsi="Arial" w:cs="Arial"/>
                <w:bCs/>
                <w:color w:val="000000" w:themeColor="text1"/>
              </w:rPr>
              <w:t xml:space="preserve">Follow up the demand letters sent to concerned LGUs with unliquidated fund balances to submit the liquidation reports and   those with unutilized funds to return the amounts to NTA in compliance with COA Circular No. 94-013; and </w:t>
            </w:r>
          </w:p>
          <w:p>
            <w:pPr>
              <w:pStyle w:val="NoSpacing"/>
              <w:spacing w:line="240" w:lineRule="auto"/>
              <w:rPr>
                <w:rFonts w:ascii="Arial" w:hAnsi="Arial" w:cs="Arial"/>
                <w:bCs/>
                <w:color w:val="000000" w:themeColor="text1"/>
              </w:rPr>
            </w:pPr>
          </w:p>
          <w:p>
            <w:pPr>
              <w:pStyle w:val="NoSpacing"/>
              <w:numPr>
                <w:ilvl w:val="0"/>
                <w:numId w:val="7"/>
              </w:numPr>
              <w:tabs>
                <w:tab w:val="left" w:pos="380"/>
              </w:tabs>
              <w:spacing w:line="240" w:lineRule="auto"/>
              <w:ind w:left="-120" w:firstLine="0"/>
              <w:rPr>
                <w:rFonts w:ascii="Arial" w:hAnsi="Arial" w:cs="Arial"/>
                <w:bCs/>
                <w:color w:val="000000" w:themeColor="text1"/>
              </w:rPr>
            </w:pPr>
            <w:r>
              <w:rPr>
                <w:rFonts w:ascii="Arial" w:hAnsi="Arial" w:cs="Arial"/>
                <w:bCs/>
                <w:color w:val="000000" w:themeColor="text1"/>
              </w:rPr>
              <w:t xml:space="preserve">Revert back to </w:t>
            </w:r>
            <w:proofErr w:type="spellStart"/>
            <w:r>
              <w:rPr>
                <w:rFonts w:ascii="Arial" w:hAnsi="Arial" w:cs="Arial"/>
                <w:bCs/>
                <w:color w:val="000000" w:themeColor="text1"/>
              </w:rPr>
              <w:t>BTr</w:t>
            </w:r>
            <w:proofErr w:type="spellEnd"/>
            <w:r>
              <w:rPr>
                <w:rFonts w:ascii="Arial" w:hAnsi="Arial" w:cs="Arial"/>
                <w:bCs/>
                <w:color w:val="000000" w:themeColor="text1"/>
              </w:rPr>
              <w:t xml:space="preserve"> the unreleased funds to LGUs for completed irrigation projects and projects not implemented. </w:t>
            </w:r>
          </w:p>
          <w:p>
            <w:pPr>
              <w:pStyle w:val="NoSpacing"/>
              <w:spacing w:line="240" w:lineRule="auto"/>
              <w:ind w:left="-120"/>
              <w:rPr>
                <w:rFonts w:ascii="Arial" w:hAnsi="Arial" w:cs="Arial"/>
                <w:color w:val="000000" w:themeColor="text1"/>
              </w:rPr>
            </w:pPr>
          </w:p>
        </w:tc>
        <w:tc>
          <w:tcPr>
            <w:tcW w:w="4070" w:type="dxa"/>
          </w:tcPr>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right="-108"/>
              <w:rPr>
                <w:rFonts w:ascii="Arial" w:hAnsi="Arial" w:cs="Arial"/>
              </w:rPr>
            </w:pPr>
          </w:p>
          <w:p>
            <w:pPr>
              <w:pStyle w:val="NoSpacing"/>
              <w:spacing w:line="240" w:lineRule="auto"/>
              <w:ind w:right="-108"/>
              <w:rPr>
                <w:rFonts w:ascii="Arial" w:hAnsi="Arial" w:cs="Arial"/>
              </w:rPr>
            </w:pPr>
            <w:r>
              <w:rPr>
                <w:rFonts w:ascii="Arial" w:hAnsi="Arial" w:cs="Arial"/>
              </w:rPr>
              <w:t>Partially Implemented.</w:t>
            </w:r>
          </w:p>
          <w:p>
            <w:pPr>
              <w:pStyle w:val="NoSpacing"/>
              <w:spacing w:line="240" w:lineRule="auto"/>
              <w:ind w:left="25" w:right="-108"/>
              <w:rPr>
                <w:rFonts w:ascii="Arial" w:hAnsi="Arial" w:cs="Arial"/>
              </w:rPr>
            </w:pPr>
          </w:p>
          <w:p>
            <w:pPr>
              <w:pStyle w:val="NoSpacing"/>
              <w:ind w:left="25" w:right="-43"/>
              <w:rPr>
                <w:rFonts w:ascii="Arial" w:hAnsi="Arial" w:cs="Arial"/>
              </w:rPr>
            </w:pPr>
            <w:r>
              <w:rPr>
                <w:rFonts w:ascii="Arial" w:hAnsi="Arial" w:cs="Arial"/>
              </w:rPr>
              <w:t>No collections were made in 2020. However, the personnel in-charge made follow-up on collections from the various agencies.</w:t>
            </w:r>
          </w:p>
          <w:p>
            <w:pPr>
              <w:pStyle w:val="NoSpacing"/>
              <w:spacing w:line="240" w:lineRule="auto"/>
              <w:ind w:right="-108"/>
              <w:rPr>
                <w:rFonts w:ascii="Arial" w:hAnsi="Arial" w:cs="Arial"/>
              </w:rPr>
            </w:pPr>
          </w:p>
          <w:p>
            <w:pPr>
              <w:pStyle w:val="NoSpacing"/>
              <w:ind w:right="-43"/>
              <w:rPr>
                <w:rFonts w:ascii="Arial" w:hAnsi="Arial" w:cs="Arial"/>
              </w:rPr>
            </w:pPr>
            <w:r>
              <w:rPr>
                <w:rFonts w:ascii="Arial" w:hAnsi="Arial" w:cs="Arial"/>
              </w:rPr>
              <w:t>Not Implemented.</w:t>
            </w:r>
          </w:p>
          <w:p>
            <w:pPr>
              <w:pStyle w:val="NoSpacing"/>
              <w:ind w:left="25" w:right="-43"/>
              <w:rPr>
                <w:rFonts w:ascii="Arial" w:hAnsi="Arial" w:cs="Arial"/>
              </w:rPr>
            </w:pPr>
          </w:p>
          <w:p>
            <w:pPr>
              <w:pStyle w:val="NoSpacing"/>
              <w:ind w:left="25" w:right="-43"/>
              <w:rPr>
                <w:rFonts w:ascii="Arial" w:hAnsi="Arial" w:cs="Arial"/>
              </w:rPr>
            </w:pPr>
            <w:r>
              <w:rPr>
                <w:rFonts w:ascii="Arial" w:hAnsi="Arial" w:cs="Arial"/>
              </w:rPr>
              <w:t>LGUs are still implementing the project.  The balance of unreleased funds as of December 31, 2020 amounted to P52.752 million.</w:t>
            </w:r>
          </w:p>
          <w:p>
            <w:pPr>
              <w:pStyle w:val="NoSpacing"/>
              <w:ind w:left="25" w:right="-43"/>
              <w:rPr>
                <w:rFonts w:ascii="Arial" w:eastAsiaTheme="majorEastAsia" w:hAnsi="Arial" w:cs="Arial"/>
                <w:b/>
                <w:bCs/>
                <w:color w:val="4472C4" w:themeColor="accent1"/>
              </w:rPr>
            </w:pPr>
          </w:p>
        </w:tc>
      </w:tr>
      <w:tr>
        <w:trPr>
          <w:trHeight w:val="480"/>
        </w:trPr>
        <w:tc>
          <w:tcPr>
            <w:tcW w:w="4750" w:type="dxa"/>
          </w:tcPr>
          <w:p>
            <w:pPr>
              <w:pStyle w:val="NoSpacing"/>
              <w:ind w:left="-105"/>
              <w:rPr>
                <w:rFonts w:ascii="Arial" w:hAnsi="Arial" w:cs="Arial"/>
                <w:bCs/>
                <w:i/>
                <w:iCs/>
                <w:color w:val="000000" w:themeColor="text1"/>
              </w:rPr>
            </w:pPr>
            <w:r>
              <w:rPr>
                <w:rFonts w:ascii="Arial" w:hAnsi="Arial" w:cs="Arial"/>
                <w:bCs/>
                <w:i/>
                <w:iCs/>
                <w:color w:val="000000" w:themeColor="text1"/>
              </w:rPr>
              <w:lastRenderedPageBreak/>
              <w:t xml:space="preserve">Disaster Risk Reduction and </w:t>
            </w:r>
            <w:r>
              <w:rPr>
                <w:rFonts w:ascii="Arial" w:hAnsi="Arial" w:cs="Arial"/>
                <w:i/>
              </w:rPr>
              <w:t>Management</w:t>
            </w:r>
            <w:r>
              <w:rPr>
                <w:rFonts w:ascii="Arial" w:hAnsi="Arial" w:cs="Arial"/>
                <w:bCs/>
                <w:i/>
                <w:iCs/>
                <w:color w:val="000000" w:themeColor="text1"/>
              </w:rPr>
              <w:t xml:space="preserve"> (DRRM) Program</w:t>
            </w:r>
          </w:p>
          <w:p>
            <w:pPr>
              <w:pStyle w:val="NoSpacing"/>
              <w:rPr>
                <w:rFonts w:ascii="Arial" w:hAnsi="Arial" w:cs="Arial"/>
                <w:bCs/>
                <w:color w:val="000000" w:themeColor="text1"/>
              </w:rPr>
            </w:pPr>
          </w:p>
          <w:p>
            <w:pPr>
              <w:pStyle w:val="NoSpacing"/>
              <w:numPr>
                <w:ilvl w:val="0"/>
                <w:numId w:val="4"/>
              </w:numPr>
              <w:tabs>
                <w:tab w:val="left" w:pos="375"/>
              </w:tabs>
              <w:spacing w:line="240" w:lineRule="auto"/>
              <w:ind w:left="-120" w:firstLine="0"/>
              <w:rPr>
                <w:rFonts w:ascii="Arial" w:hAnsi="Arial" w:cs="Arial"/>
                <w:bCs/>
                <w:color w:val="000000" w:themeColor="text1"/>
              </w:rPr>
            </w:pPr>
            <w:r>
              <w:rPr>
                <w:rFonts w:ascii="Arial" w:hAnsi="Arial" w:cs="Arial"/>
                <w:bCs/>
                <w:color w:val="000000" w:themeColor="text1"/>
              </w:rPr>
              <w:t>Only P198</w:t>
            </w:r>
            <w:proofErr w:type="gramStart"/>
            <w:r>
              <w:rPr>
                <w:rFonts w:ascii="Arial" w:hAnsi="Arial" w:cs="Arial"/>
                <w:bCs/>
                <w:color w:val="000000" w:themeColor="text1"/>
              </w:rPr>
              <w:t>,000</w:t>
            </w:r>
            <w:proofErr w:type="gramEnd"/>
            <w:r>
              <w:rPr>
                <w:rFonts w:ascii="Arial" w:hAnsi="Arial" w:cs="Arial"/>
                <w:bCs/>
                <w:color w:val="000000" w:themeColor="text1"/>
              </w:rPr>
              <w:t xml:space="preserve"> or 4.95 per cent of the P4.000 million approved NTA Risk Management Fund was released as calamity assistance to 99 beneficiaries or 1.33 per cent </w:t>
            </w:r>
            <w:r>
              <w:rPr>
                <w:rFonts w:ascii="Arial" w:hAnsi="Arial" w:cs="Arial"/>
                <w:bCs/>
              </w:rPr>
              <w:t>of</w:t>
            </w:r>
            <w:r>
              <w:rPr>
                <w:rFonts w:ascii="Arial" w:hAnsi="Arial" w:cs="Arial"/>
                <w:bCs/>
                <w:color w:val="000000" w:themeColor="text1"/>
              </w:rPr>
              <w:t xml:space="preserve"> 7,450 tobacco farmers whose flue-curing barns and air-curing sheds were damaged by Typhoon </w:t>
            </w:r>
            <w:proofErr w:type="spellStart"/>
            <w:r>
              <w:rPr>
                <w:rFonts w:ascii="Arial" w:hAnsi="Arial" w:cs="Arial"/>
                <w:bCs/>
                <w:color w:val="000000" w:themeColor="text1"/>
              </w:rPr>
              <w:t>Ompong</w:t>
            </w:r>
            <w:proofErr w:type="spellEnd"/>
            <w:r>
              <w:rPr>
                <w:rFonts w:ascii="Arial" w:hAnsi="Arial" w:cs="Arial"/>
                <w:bCs/>
                <w:color w:val="000000" w:themeColor="text1"/>
              </w:rPr>
              <w:t xml:space="preserve"> in September 2018 in CAR, Regions I and II. The delay and very low percentage of the releases of assistance were due to: (a) non-submission of the required supporting documents by the </w:t>
            </w:r>
            <w:proofErr w:type="spellStart"/>
            <w:r>
              <w:rPr>
                <w:rFonts w:ascii="Arial" w:hAnsi="Arial" w:cs="Arial"/>
                <w:bCs/>
                <w:color w:val="000000" w:themeColor="text1"/>
              </w:rPr>
              <w:t>availees</w:t>
            </w:r>
            <w:proofErr w:type="spellEnd"/>
            <w:r>
              <w:rPr>
                <w:rFonts w:ascii="Arial" w:hAnsi="Arial" w:cs="Arial"/>
                <w:bCs/>
                <w:color w:val="000000" w:themeColor="text1"/>
              </w:rPr>
              <w:t xml:space="preserve">; (b) difficulty in processing of the reports due to errors </w:t>
            </w:r>
            <w:r>
              <w:rPr>
                <w:rFonts w:ascii="Arial" w:hAnsi="Arial" w:cs="Arial"/>
                <w:bCs/>
                <w:color w:val="000000" w:themeColor="text1"/>
                <w:lang w:val="en-PH"/>
              </w:rPr>
              <w:t>in information and data of the registered tobacco farmers</w:t>
            </w:r>
            <w:r>
              <w:rPr>
                <w:rFonts w:ascii="Arial" w:hAnsi="Arial" w:cs="Arial"/>
                <w:bCs/>
                <w:color w:val="000000" w:themeColor="text1"/>
              </w:rPr>
              <w:t xml:space="preserve">; and (c) </w:t>
            </w:r>
            <w:r>
              <w:rPr>
                <w:rFonts w:ascii="Arial" w:hAnsi="Arial" w:cs="Arial"/>
                <w:bCs/>
                <w:color w:val="000000" w:themeColor="text1"/>
                <w:lang w:val="en-PH"/>
              </w:rPr>
              <w:t xml:space="preserve">some farmers cannot be identified since the submitted documents were unnamed and contained only pictures of the damaged curing barns. </w:t>
            </w:r>
          </w:p>
          <w:p>
            <w:pPr>
              <w:pStyle w:val="NoSpacing"/>
              <w:spacing w:line="240" w:lineRule="auto"/>
              <w:rPr>
                <w:rFonts w:ascii="Arial" w:hAnsi="Arial" w:cs="Arial"/>
                <w:bCs/>
                <w:color w:val="000000" w:themeColor="text1"/>
                <w:lang w:val="en-PH"/>
              </w:rPr>
            </w:pPr>
          </w:p>
          <w:p>
            <w:pPr>
              <w:pStyle w:val="NoSpacing"/>
              <w:spacing w:line="240" w:lineRule="auto"/>
              <w:ind w:left="-120"/>
              <w:rPr>
                <w:rFonts w:ascii="Arial" w:hAnsi="Arial" w:cs="Arial"/>
                <w:bCs/>
                <w:color w:val="000000" w:themeColor="text1"/>
              </w:rPr>
            </w:pPr>
            <w:r>
              <w:rPr>
                <w:rFonts w:ascii="Arial" w:hAnsi="Arial" w:cs="Arial"/>
                <w:bCs/>
                <w:color w:val="000000" w:themeColor="text1"/>
              </w:rPr>
              <w:t>We recommended that Management:</w:t>
            </w:r>
          </w:p>
          <w:p>
            <w:pPr>
              <w:pStyle w:val="NoSpacing"/>
              <w:rPr>
                <w:rFonts w:ascii="Arial" w:hAnsi="Arial" w:cs="Arial"/>
                <w:bCs/>
                <w:color w:val="000000" w:themeColor="text1"/>
              </w:rPr>
            </w:pPr>
          </w:p>
          <w:p>
            <w:pPr>
              <w:pStyle w:val="NoSpacing"/>
              <w:numPr>
                <w:ilvl w:val="0"/>
                <w:numId w:val="8"/>
              </w:numPr>
              <w:tabs>
                <w:tab w:val="left" w:pos="380"/>
              </w:tabs>
              <w:spacing w:line="240" w:lineRule="auto"/>
              <w:ind w:left="-120" w:firstLine="0"/>
              <w:rPr>
                <w:rFonts w:ascii="Arial" w:hAnsi="Arial" w:cs="Arial"/>
                <w:bCs/>
                <w:color w:val="000000" w:themeColor="text1"/>
              </w:rPr>
            </w:pPr>
            <w:r>
              <w:rPr>
                <w:rFonts w:ascii="Arial" w:hAnsi="Arial" w:cs="Arial"/>
                <w:bCs/>
                <w:color w:val="000000" w:themeColor="text1"/>
              </w:rPr>
              <w:t xml:space="preserve">Require the Tobacco Product Regulation Officer (TPRO) to assist the farmers in preparing the necessary documents to facilitate the </w:t>
            </w:r>
            <w:r>
              <w:rPr>
                <w:rFonts w:ascii="Arial" w:hAnsi="Arial" w:cs="Arial"/>
                <w:bCs/>
                <w:color w:val="000000" w:themeColor="text1"/>
              </w:rPr>
              <w:lastRenderedPageBreak/>
              <w:t>evaluation of their qualification for the release and maximum utilization of calamity assistance fund; and</w:t>
            </w:r>
          </w:p>
          <w:p>
            <w:pPr>
              <w:pStyle w:val="NoSpacing"/>
              <w:spacing w:line="240" w:lineRule="auto"/>
              <w:rPr>
                <w:rFonts w:ascii="Arial" w:hAnsi="Arial" w:cs="Arial"/>
                <w:bCs/>
                <w:color w:val="000000" w:themeColor="text1"/>
              </w:rPr>
            </w:pPr>
          </w:p>
          <w:p>
            <w:pPr>
              <w:pStyle w:val="NoSpacing"/>
              <w:numPr>
                <w:ilvl w:val="0"/>
                <w:numId w:val="8"/>
              </w:numPr>
              <w:tabs>
                <w:tab w:val="left" w:pos="380"/>
              </w:tabs>
              <w:spacing w:line="240" w:lineRule="auto"/>
              <w:ind w:left="-120" w:firstLine="0"/>
              <w:rPr>
                <w:rFonts w:ascii="Arial" w:hAnsi="Arial" w:cs="Arial"/>
                <w:bCs/>
                <w:color w:val="000000" w:themeColor="text1"/>
              </w:rPr>
            </w:pPr>
            <w:r>
              <w:rPr>
                <w:rFonts w:ascii="Arial" w:hAnsi="Arial" w:cs="Arial"/>
                <w:bCs/>
                <w:color w:val="000000" w:themeColor="text1"/>
              </w:rPr>
              <w:t>Fast track the processing of the claims and set specific timelines in releasing the calamity assistance to the affected tobacco farmers for them to recover immediately.</w:t>
            </w:r>
          </w:p>
          <w:p>
            <w:pPr>
              <w:pStyle w:val="NoSpacing"/>
              <w:ind w:left="-120" w:right="1167"/>
              <w:rPr>
                <w:rFonts w:ascii="Arial" w:hAnsi="Arial" w:cs="Arial"/>
                <w:bCs/>
              </w:rPr>
            </w:pPr>
          </w:p>
        </w:tc>
        <w:tc>
          <w:tcPr>
            <w:tcW w:w="4070" w:type="dxa"/>
          </w:tcPr>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left="25" w:right="-108"/>
              <w:rPr>
                <w:rFonts w:ascii="Arial" w:hAnsi="Arial" w:cs="Arial"/>
              </w:rPr>
            </w:pPr>
          </w:p>
          <w:p>
            <w:pPr>
              <w:pStyle w:val="NoSpacing"/>
              <w:spacing w:line="240" w:lineRule="auto"/>
              <w:ind w:right="-108"/>
              <w:rPr>
                <w:rFonts w:ascii="Arial" w:hAnsi="Arial" w:cs="Arial"/>
              </w:rPr>
            </w:pPr>
          </w:p>
          <w:p>
            <w:pPr>
              <w:pStyle w:val="NoSpacing"/>
              <w:spacing w:line="240" w:lineRule="auto"/>
              <w:ind w:right="-108"/>
              <w:rPr>
                <w:rFonts w:ascii="Arial" w:hAnsi="Arial" w:cs="Arial"/>
              </w:rPr>
            </w:pPr>
            <w:r>
              <w:rPr>
                <w:rFonts w:ascii="Arial" w:hAnsi="Arial" w:cs="Arial"/>
              </w:rPr>
              <w:t xml:space="preserve">Partially Implemented. </w:t>
            </w:r>
          </w:p>
          <w:p>
            <w:pPr>
              <w:pStyle w:val="NoSpacing"/>
              <w:ind w:left="25" w:right="-43"/>
              <w:rPr>
                <w:rFonts w:ascii="Arial" w:hAnsi="Arial" w:cs="Arial"/>
              </w:rPr>
            </w:pPr>
          </w:p>
          <w:p>
            <w:pPr>
              <w:pStyle w:val="NoSpacing"/>
              <w:ind w:left="25" w:right="-43"/>
              <w:rPr>
                <w:rFonts w:ascii="Arial" w:hAnsi="Arial" w:cs="Arial"/>
              </w:rPr>
            </w:pPr>
            <w:r>
              <w:rPr>
                <w:rFonts w:ascii="Arial" w:hAnsi="Arial" w:cs="Arial"/>
              </w:rPr>
              <w:lastRenderedPageBreak/>
              <w:t>The calamity assistance of P198</w:t>
            </w:r>
            <w:proofErr w:type="gramStart"/>
            <w:r>
              <w:rPr>
                <w:rFonts w:ascii="Arial" w:hAnsi="Arial" w:cs="Arial"/>
              </w:rPr>
              <w:t>,000</w:t>
            </w:r>
            <w:proofErr w:type="gramEnd"/>
            <w:r>
              <w:rPr>
                <w:rFonts w:ascii="Arial" w:hAnsi="Arial" w:cs="Arial"/>
              </w:rPr>
              <w:t xml:space="preserve"> and P3.354 million was transferred to the BOs in 2018 and 2019, respectively.</w:t>
            </w:r>
          </w:p>
          <w:p>
            <w:pPr>
              <w:pStyle w:val="NoSpacing"/>
              <w:ind w:right="-43"/>
              <w:rPr>
                <w:rFonts w:ascii="Arial" w:hAnsi="Arial" w:cs="Arial"/>
              </w:rPr>
            </w:pPr>
          </w:p>
          <w:p>
            <w:pPr>
              <w:pStyle w:val="NoSpacing"/>
              <w:spacing w:line="240" w:lineRule="auto"/>
              <w:ind w:right="-108"/>
              <w:rPr>
                <w:rFonts w:ascii="Arial" w:hAnsi="Arial" w:cs="Arial"/>
              </w:rPr>
            </w:pPr>
            <w:r>
              <w:rPr>
                <w:rFonts w:ascii="Arial" w:hAnsi="Arial" w:cs="Arial"/>
              </w:rPr>
              <w:t>Partially Implemented.</w:t>
            </w:r>
          </w:p>
          <w:p>
            <w:pPr>
              <w:pStyle w:val="NoSpacing"/>
              <w:spacing w:line="240" w:lineRule="auto"/>
              <w:ind w:left="25" w:right="-108"/>
              <w:rPr>
                <w:rFonts w:ascii="Arial" w:hAnsi="Arial" w:cs="Arial"/>
              </w:rPr>
            </w:pPr>
          </w:p>
          <w:p>
            <w:pPr>
              <w:pStyle w:val="NoSpacing"/>
              <w:ind w:right="-43"/>
              <w:rPr>
                <w:rFonts w:ascii="Arial" w:hAnsi="Arial" w:cs="Arial"/>
              </w:rPr>
            </w:pPr>
            <w:r>
              <w:rPr>
                <w:rFonts w:ascii="Arial" w:hAnsi="Arial" w:cs="Arial"/>
              </w:rPr>
              <w:t>The processing of claims depends on the timely submission of complete documents by the BOs to the CO.</w:t>
            </w:r>
          </w:p>
          <w:p>
            <w:pPr>
              <w:pStyle w:val="NoSpacing"/>
              <w:ind w:right="-43"/>
              <w:rPr>
                <w:rFonts w:ascii="Arial" w:hAnsi="Arial" w:cs="Arial"/>
              </w:rPr>
            </w:pPr>
          </w:p>
        </w:tc>
      </w:tr>
      <w:tr>
        <w:trPr>
          <w:trHeight w:val="396"/>
        </w:trPr>
        <w:tc>
          <w:tcPr>
            <w:tcW w:w="4750" w:type="dxa"/>
          </w:tcPr>
          <w:p>
            <w:pPr>
              <w:pStyle w:val="NoSpacing"/>
              <w:spacing w:line="240" w:lineRule="auto"/>
              <w:rPr>
                <w:rFonts w:ascii="Arial" w:hAnsi="Arial" w:cs="Arial"/>
                <w:b/>
                <w:u w:val="single"/>
              </w:rPr>
            </w:pPr>
          </w:p>
          <w:p>
            <w:pPr>
              <w:pStyle w:val="NoSpacing"/>
              <w:spacing w:line="240" w:lineRule="auto"/>
              <w:ind w:left="-105"/>
              <w:rPr>
                <w:rFonts w:ascii="Arial" w:hAnsi="Arial" w:cs="Arial"/>
                <w:b/>
                <w:u w:val="single"/>
              </w:rPr>
            </w:pPr>
            <w:r>
              <w:rPr>
                <w:rFonts w:ascii="Arial" w:hAnsi="Arial" w:cs="Arial"/>
                <w:b/>
                <w:u w:val="single"/>
              </w:rPr>
              <w:t>CY 2017 AAR</w:t>
            </w:r>
          </w:p>
          <w:p>
            <w:pPr>
              <w:pStyle w:val="NoSpacing"/>
              <w:spacing w:line="240" w:lineRule="auto"/>
              <w:ind w:left="-105"/>
              <w:rPr>
                <w:rFonts w:ascii="Arial" w:hAnsi="Arial" w:cs="Arial"/>
              </w:rPr>
            </w:pPr>
          </w:p>
        </w:tc>
        <w:tc>
          <w:tcPr>
            <w:tcW w:w="4070" w:type="dxa"/>
          </w:tcPr>
          <w:p>
            <w:pPr>
              <w:pStyle w:val="NoSpacing"/>
              <w:spacing w:line="240" w:lineRule="auto"/>
              <w:rPr>
                <w:rFonts w:ascii="Arial" w:hAnsi="Arial" w:cs="Arial"/>
              </w:rPr>
            </w:pPr>
          </w:p>
        </w:tc>
      </w:tr>
      <w:tr>
        <w:trPr>
          <w:trHeight w:val="64"/>
        </w:trPr>
        <w:tc>
          <w:tcPr>
            <w:tcW w:w="4750" w:type="dxa"/>
          </w:tcPr>
          <w:p>
            <w:pPr>
              <w:pStyle w:val="NoSpacing"/>
              <w:numPr>
                <w:ilvl w:val="0"/>
                <w:numId w:val="4"/>
              </w:numPr>
              <w:tabs>
                <w:tab w:val="left" w:pos="360"/>
              </w:tabs>
              <w:spacing w:line="240" w:lineRule="auto"/>
              <w:ind w:left="-120" w:firstLine="0"/>
              <w:rPr>
                <w:rFonts w:ascii="Arial" w:hAnsi="Arial" w:cs="Arial"/>
              </w:rPr>
            </w:pPr>
            <w:r>
              <w:rPr>
                <w:rFonts w:ascii="Arial" w:hAnsi="Arial" w:cs="Arial"/>
                <w:bCs/>
              </w:rPr>
              <w:t>The existence and completeness of the PPE account with total cost of P702.433 million as at December 31, 2017 could not be ascertained due to: (a) incomplete physical inventory of immovable assets in NTA–CO totaling P</w:t>
            </w:r>
            <w:r>
              <w:rPr>
                <w:rFonts w:ascii="Arial" w:hAnsi="Arial" w:cs="Arial"/>
              </w:rPr>
              <w:t>120.819 million; (</w:t>
            </w:r>
            <w:r>
              <w:rPr>
                <w:rFonts w:ascii="Arial" w:hAnsi="Arial" w:cs="Arial"/>
                <w:bCs/>
              </w:rPr>
              <w:t xml:space="preserve">b) </w:t>
            </w:r>
            <w:r>
              <w:rPr>
                <w:rFonts w:ascii="Arial" w:hAnsi="Arial" w:cs="Arial"/>
              </w:rPr>
              <w:t>discrepancies of P170.458 million between accounting records of P165.331 million and property records of P335.789 million in NTA–CO and Isabela Branch; (</w:t>
            </w:r>
            <w:r>
              <w:rPr>
                <w:rFonts w:ascii="Arial" w:hAnsi="Arial" w:cs="Arial"/>
                <w:bCs/>
                <w:iCs/>
              </w:rPr>
              <w:t>c</w:t>
            </w:r>
            <w:r>
              <w:rPr>
                <w:rFonts w:ascii="Arial" w:hAnsi="Arial" w:cs="Arial"/>
              </w:rPr>
              <w:t>) non-provision of allowance for impairment loss on the idle property in NTA Cagayan Branch which is not in accordance with PPSAS 21; and (d) other deficiencies which affect the ownership of NTA over its properties.</w:t>
            </w:r>
          </w:p>
          <w:p>
            <w:pPr>
              <w:pStyle w:val="NoSpacing"/>
              <w:ind w:left="-105"/>
              <w:rPr>
                <w:rFonts w:ascii="Arial" w:hAnsi="Arial" w:cs="Arial"/>
                <w:u w:val="single"/>
              </w:rPr>
            </w:pPr>
          </w:p>
          <w:p>
            <w:pPr>
              <w:pStyle w:val="NoSpacing"/>
              <w:ind w:left="-105"/>
              <w:rPr>
                <w:rFonts w:ascii="Arial" w:hAnsi="Arial" w:cs="Arial"/>
              </w:rPr>
            </w:pPr>
            <w:r>
              <w:rPr>
                <w:rFonts w:ascii="Arial" w:hAnsi="Arial" w:cs="Arial"/>
              </w:rPr>
              <w:t>We recommended and Management agreed to:</w:t>
            </w:r>
          </w:p>
          <w:p>
            <w:pPr>
              <w:pStyle w:val="NoSpacing"/>
              <w:ind w:left="-105"/>
              <w:rPr>
                <w:rFonts w:ascii="Arial" w:hAnsi="Arial" w:cs="Arial"/>
              </w:rPr>
            </w:pPr>
          </w:p>
          <w:p>
            <w:pPr>
              <w:pStyle w:val="NoSpacing"/>
              <w:numPr>
                <w:ilvl w:val="0"/>
                <w:numId w:val="2"/>
              </w:numPr>
              <w:tabs>
                <w:tab w:val="left" w:pos="324"/>
              </w:tabs>
              <w:ind w:left="-105" w:firstLine="0"/>
              <w:rPr>
                <w:rFonts w:ascii="Arial" w:hAnsi="Arial" w:cs="Arial"/>
              </w:rPr>
            </w:pPr>
            <w:r>
              <w:rPr>
                <w:rFonts w:ascii="Arial" w:hAnsi="Arial" w:cs="Arial"/>
              </w:rPr>
              <w:t xml:space="preserve">Require the Inventory Committee to complete the conduct of physical inventory of immovable assets in NTA-CO books including the properties located in CAR, Regions I and II to check their existence and conditions and, to prepare the RPCPPE for reconciliation with the accounting and property records and to identify the missing and unrecorded properties in the books; </w:t>
            </w:r>
          </w:p>
          <w:p>
            <w:pPr>
              <w:pStyle w:val="NoSpacing"/>
              <w:tabs>
                <w:tab w:val="left" w:pos="324"/>
              </w:tabs>
              <w:rPr>
                <w:rFonts w:ascii="Arial" w:hAnsi="Arial" w:cs="Arial"/>
                <w:b/>
                <w:u w:val="single"/>
              </w:rPr>
            </w:pPr>
          </w:p>
          <w:p>
            <w:pPr>
              <w:pStyle w:val="NoSpacing"/>
              <w:numPr>
                <w:ilvl w:val="0"/>
                <w:numId w:val="2"/>
              </w:numPr>
              <w:tabs>
                <w:tab w:val="left" w:pos="324"/>
              </w:tabs>
              <w:ind w:left="-105" w:firstLine="0"/>
              <w:rPr>
                <w:rFonts w:ascii="Arial" w:hAnsi="Arial" w:cs="Arial"/>
              </w:rPr>
            </w:pPr>
            <w:r>
              <w:rPr>
                <w:rFonts w:ascii="Arial" w:hAnsi="Arial" w:cs="Arial"/>
              </w:rPr>
              <w:t>Exhaust all remedies for the recovery of parcels of land in Isabela subject of Emancipation Patents in favor of Department of Agrarian Reform (DAR) beneficiaries and, follow up reply of DAR on letter-complaint filed by the NTA for the consequent cancellation of the emancipation patents (EPs);</w:t>
            </w:r>
          </w:p>
          <w:p>
            <w:pPr>
              <w:pStyle w:val="NoSpacing"/>
              <w:tabs>
                <w:tab w:val="left" w:pos="324"/>
              </w:tabs>
              <w:rPr>
                <w:rFonts w:ascii="Arial" w:hAnsi="Arial" w:cs="Arial"/>
                <w:b/>
                <w:u w:val="single"/>
              </w:rPr>
            </w:pPr>
          </w:p>
          <w:p>
            <w:pPr>
              <w:pStyle w:val="NoSpacing"/>
              <w:numPr>
                <w:ilvl w:val="0"/>
                <w:numId w:val="2"/>
              </w:numPr>
              <w:tabs>
                <w:tab w:val="left" w:pos="324"/>
              </w:tabs>
              <w:ind w:left="-105" w:firstLine="0"/>
              <w:rPr>
                <w:rFonts w:ascii="Arial" w:hAnsi="Arial" w:cs="Arial"/>
              </w:rPr>
            </w:pPr>
            <w:r>
              <w:rPr>
                <w:rFonts w:ascii="Arial" w:hAnsi="Arial" w:cs="Arial"/>
              </w:rPr>
              <w:t xml:space="preserve">Require the person responsible in the CO to provide NTA </w:t>
            </w:r>
            <w:proofErr w:type="spellStart"/>
            <w:r>
              <w:rPr>
                <w:rFonts w:ascii="Arial" w:hAnsi="Arial" w:cs="Arial"/>
              </w:rPr>
              <w:t>Batac</w:t>
            </w:r>
            <w:proofErr w:type="spellEnd"/>
            <w:r>
              <w:rPr>
                <w:rFonts w:ascii="Arial" w:hAnsi="Arial" w:cs="Arial"/>
              </w:rPr>
              <w:t xml:space="preserve"> Branch copy of the Deed of </w:t>
            </w:r>
            <w:r>
              <w:rPr>
                <w:rFonts w:ascii="Arial" w:hAnsi="Arial" w:cs="Arial"/>
              </w:rPr>
              <w:lastRenderedPageBreak/>
              <w:t xml:space="preserve">Donation of the two buildings donated to Isabela State University in order for the Branch Accountant to drop these properties from the books; and </w:t>
            </w:r>
          </w:p>
          <w:p>
            <w:pPr>
              <w:pStyle w:val="ListParagraph"/>
              <w:rPr>
                <w:rFonts w:ascii="Arial" w:hAnsi="Arial" w:cs="Arial"/>
              </w:rPr>
            </w:pPr>
          </w:p>
          <w:p>
            <w:pPr>
              <w:pStyle w:val="NoSpacing"/>
              <w:tabs>
                <w:tab w:val="left" w:pos="324"/>
              </w:tabs>
              <w:rPr>
                <w:rFonts w:ascii="Arial" w:hAnsi="Arial" w:cs="Arial"/>
                <w:b/>
                <w:u w:val="single"/>
              </w:rPr>
            </w:pPr>
          </w:p>
          <w:p>
            <w:pPr>
              <w:pStyle w:val="NoSpacing"/>
              <w:numPr>
                <w:ilvl w:val="0"/>
                <w:numId w:val="2"/>
              </w:numPr>
              <w:tabs>
                <w:tab w:val="left" w:pos="324"/>
              </w:tabs>
              <w:ind w:left="-105" w:firstLine="0"/>
              <w:rPr>
                <w:rFonts w:ascii="Arial" w:hAnsi="Arial" w:cs="Arial"/>
                <w:b/>
                <w:u w:val="single"/>
              </w:rPr>
            </w:pPr>
            <w:r>
              <w:rPr>
                <w:rFonts w:ascii="Arial" w:hAnsi="Arial" w:cs="Arial"/>
              </w:rPr>
              <w:t>Exhaust all possible means to facilitate the preparation of documentary requirements to secure the Transfer Certificate of Titles of all parcels of land acquired, as evidence of ownership of NTA over these properties.</w:t>
            </w:r>
          </w:p>
          <w:p>
            <w:pPr>
              <w:pStyle w:val="NoSpacing"/>
              <w:tabs>
                <w:tab w:val="left" w:pos="324"/>
              </w:tabs>
              <w:rPr>
                <w:rFonts w:ascii="Arial" w:hAnsi="Arial" w:cs="Arial"/>
                <w:b/>
                <w:u w:val="single"/>
              </w:rPr>
            </w:pPr>
          </w:p>
        </w:tc>
        <w:tc>
          <w:tcPr>
            <w:tcW w:w="4070" w:type="dxa"/>
          </w:tcPr>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right="-108"/>
              <w:rPr>
                <w:rFonts w:ascii="Arial" w:eastAsiaTheme="majorEastAsia" w:hAnsi="Arial" w:cs="Arial"/>
                <w:b/>
                <w:bCs/>
                <w:color w:val="4472C4" w:themeColor="accent1"/>
              </w:rPr>
            </w:pPr>
          </w:p>
          <w:p>
            <w:pPr>
              <w:pStyle w:val="NoSpacing"/>
              <w:ind w:right="-108"/>
              <w:rPr>
                <w:rFonts w:ascii="Arial" w:hAnsi="Arial" w:cs="Arial"/>
              </w:rPr>
            </w:pPr>
          </w:p>
          <w:p>
            <w:pPr>
              <w:pStyle w:val="NoSpacing"/>
              <w:rPr>
                <w:rFonts w:ascii="Arial" w:hAnsi="Arial" w:cs="Arial"/>
              </w:rPr>
            </w:pPr>
            <w:r>
              <w:rPr>
                <w:rFonts w:ascii="Arial" w:hAnsi="Arial" w:cs="Arial"/>
              </w:rPr>
              <w:t>Partially Implemented.</w:t>
            </w:r>
          </w:p>
          <w:p>
            <w:pPr>
              <w:pStyle w:val="NoSpacing"/>
              <w:ind w:left="25"/>
              <w:rPr>
                <w:rFonts w:ascii="Arial" w:hAnsi="Arial" w:cs="Arial"/>
              </w:rPr>
            </w:pPr>
          </w:p>
          <w:p>
            <w:pPr>
              <w:pStyle w:val="NoSpacing"/>
              <w:ind w:left="25"/>
              <w:rPr>
                <w:rFonts w:ascii="Arial" w:hAnsi="Arial" w:cs="Arial"/>
              </w:rPr>
            </w:pPr>
            <w:r>
              <w:rPr>
                <w:rFonts w:ascii="Arial" w:hAnsi="Arial" w:cs="Arial"/>
              </w:rPr>
              <w:t>The physical inventory of immovable properties was not conducted due to travel restrictions caused by the pandemic.</w:t>
            </w:r>
          </w:p>
          <w:p>
            <w:pPr>
              <w:pStyle w:val="NoSpacing"/>
              <w:ind w:left="25"/>
              <w:rPr>
                <w:rFonts w:ascii="Arial" w:hAnsi="Arial" w:cs="Arial"/>
              </w:rPr>
            </w:pPr>
          </w:p>
          <w:p>
            <w:pPr>
              <w:pStyle w:val="NoSpacing"/>
              <w:ind w:left="25"/>
              <w:rPr>
                <w:rFonts w:ascii="Arial" w:hAnsi="Arial" w:cs="Arial"/>
              </w:rPr>
            </w:pPr>
          </w:p>
          <w:p>
            <w:pPr>
              <w:pStyle w:val="NoSpacing"/>
              <w:ind w:left="25"/>
              <w:rPr>
                <w:rFonts w:ascii="Arial" w:hAnsi="Arial" w:cs="Arial"/>
              </w:rPr>
            </w:pPr>
          </w:p>
          <w:p>
            <w:pPr>
              <w:pStyle w:val="NoSpacing"/>
              <w:ind w:left="25"/>
              <w:rPr>
                <w:rFonts w:ascii="Arial" w:hAnsi="Arial" w:cs="Arial"/>
              </w:rPr>
            </w:pPr>
          </w:p>
          <w:p>
            <w:pPr>
              <w:pStyle w:val="NoSpacing"/>
              <w:ind w:left="25"/>
              <w:rPr>
                <w:rFonts w:ascii="Arial" w:hAnsi="Arial" w:cs="Arial"/>
              </w:rPr>
            </w:pPr>
            <w:r>
              <w:rPr>
                <w:rFonts w:ascii="Arial" w:hAnsi="Arial" w:cs="Arial"/>
              </w:rPr>
              <w:t>Partially Implemented.</w:t>
            </w:r>
          </w:p>
          <w:p>
            <w:pPr>
              <w:pStyle w:val="NoSpacing"/>
              <w:ind w:left="25"/>
              <w:rPr>
                <w:rFonts w:ascii="Arial" w:hAnsi="Arial" w:cs="Arial"/>
              </w:rPr>
            </w:pPr>
          </w:p>
          <w:p>
            <w:pPr>
              <w:pStyle w:val="NoSpacing"/>
              <w:ind w:right="-43"/>
              <w:rPr>
                <w:rFonts w:ascii="Arial" w:hAnsi="Arial" w:cs="Arial"/>
              </w:rPr>
            </w:pPr>
          </w:p>
          <w:p>
            <w:pPr>
              <w:pStyle w:val="NoSpacing"/>
              <w:ind w:right="-43"/>
              <w:rPr>
                <w:rFonts w:ascii="Arial" w:hAnsi="Arial" w:cs="Arial"/>
              </w:rPr>
            </w:pPr>
          </w:p>
          <w:p>
            <w:pPr>
              <w:pStyle w:val="NoSpacing"/>
              <w:ind w:left="-72" w:right="-43"/>
              <w:rPr>
                <w:rFonts w:ascii="Arial" w:hAnsi="Arial" w:cs="Arial"/>
              </w:rPr>
            </w:pPr>
          </w:p>
          <w:p>
            <w:pPr>
              <w:pStyle w:val="NoSpacing"/>
              <w:ind w:left="-72" w:right="-43"/>
              <w:rPr>
                <w:rFonts w:ascii="Arial" w:hAnsi="Arial" w:cs="Arial"/>
              </w:rPr>
            </w:pPr>
          </w:p>
          <w:p>
            <w:pPr>
              <w:pStyle w:val="NoSpacing"/>
              <w:ind w:left="-72" w:right="-43"/>
              <w:rPr>
                <w:rFonts w:ascii="Arial" w:hAnsi="Arial" w:cs="Arial"/>
              </w:rPr>
            </w:pPr>
          </w:p>
          <w:p>
            <w:pPr>
              <w:pStyle w:val="NoSpacing"/>
              <w:ind w:left="-72" w:right="-43"/>
              <w:rPr>
                <w:rFonts w:ascii="Arial" w:hAnsi="Arial" w:cs="Arial"/>
              </w:rPr>
            </w:pPr>
          </w:p>
          <w:p>
            <w:pPr>
              <w:pStyle w:val="NoSpacing"/>
              <w:ind w:left="25"/>
              <w:rPr>
                <w:rFonts w:ascii="Arial" w:hAnsi="Arial" w:cs="Arial"/>
              </w:rPr>
            </w:pPr>
            <w:r>
              <w:rPr>
                <w:rFonts w:ascii="Arial" w:hAnsi="Arial" w:cs="Arial"/>
              </w:rPr>
              <w:t>Partially Implemented.</w:t>
            </w:r>
          </w:p>
          <w:p>
            <w:pPr>
              <w:pStyle w:val="NoSpacing"/>
              <w:ind w:left="25"/>
              <w:rPr>
                <w:rFonts w:ascii="Arial" w:hAnsi="Arial" w:cs="Arial"/>
              </w:rPr>
            </w:pPr>
          </w:p>
          <w:p>
            <w:pPr>
              <w:pStyle w:val="NoSpacing"/>
              <w:ind w:right="-43"/>
              <w:rPr>
                <w:rFonts w:ascii="Arial" w:hAnsi="Arial" w:cs="Arial"/>
              </w:rPr>
            </w:pPr>
            <w:r>
              <w:rPr>
                <w:rFonts w:ascii="Arial" w:hAnsi="Arial" w:cs="Arial"/>
              </w:rPr>
              <w:lastRenderedPageBreak/>
              <w:t>Board Resolution No. 871-2018 dated July 12, 2018 approved the condemnation of the NTA Building at the Isabela State University but no Deed of Donation was executed to support dropping of the property from the books.</w:t>
            </w:r>
          </w:p>
          <w:p>
            <w:pPr>
              <w:pStyle w:val="NoSpacing"/>
              <w:ind w:right="-43"/>
              <w:rPr>
                <w:rFonts w:ascii="Arial" w:hAnsi="Arial" w:cs="Arial"/>
              </w:rPr>
            </w:pPr>
          </w:p>
          <w:p>
            <w:pPr>
              <w:pStyle w:val="NoSpacing"/>
              <w:rPr>
                <w:rFonts w:ascii="Arial" w:hAnsi="Arial" w:cs="Arial"/>
              </w:rPr>
            </w:pPr>
            <w:r>
              <w:rPr>
                <w:rFonts w:ascii="Arial" w:hAnsi="Arial" w:cs="Arial"/>
              </w:rPr>
              <w:t>Partially Implemented.</w:t>
            </w:r>
          </w:p>
          <w:p>
            <w:pPr>
              <w:pStyle w:val="NoSpacing"/>
              <w:ind w:left="25"/>
              <w:rPr>
                <w:rFonts w:ascii="Arial" w:hAnsi="Arial" w:cs="Arial"/>
              </w:rPr>
            </w:pPr>
          </w:p>
          <w:p>
            <w:pPr>
              <w:pStyle w:val="NoSpacing"/>
              <w:ind w:right="-43"/>
              <w:rPr>
                <w:rFonts w:ascii="Arial" w:hAnsi="Arial" w:cs="Arial"/>
              </w:rPr>
            </w:pPr>
          </w:p>
        </w:tc>
      </w:tr>
      <w:tr>
        <w:trPr>
          <w:trHeight w:val="54"/>
        </w:trPr>
        <w:tc>
          <w:tcPr>
            <w:tcW w:w="4750" w:type="dxa"/>
          </w:tcPr>
          <w:p>
            <w:pPr>
              <w:pStyle w:val="NoSpacing"/>
              <w:ind w:left="-105"/>
              <w:rPr>
                <w:rFonts w:ascii="Arial" w:hAnsi="Arial" w:cs="Arial"/>
                <w:i/>
              </w:rPr>
            </w:pPr>
            <w:r>
              <w:rPr>
                <w:rFonts w:ascii="Arial" w:hAnsi="Arial" w:cs="Arial"/>
                <w:i/>
              </w:rPr>
              <w:lastRenderedPageBreak/>
              <w:t>RENEWABLE FUELWOOD ENERGY FARM PROJECT AND RESTORATION OF ECOLOGICAL INTEGRITY – KAHUYANG PANGKABUHAYAN AT PANGKALIKASAN (RFEFPREI-KPP)</w:t>
            </w:r>
          </w:p>
          <w:p>
            <w:pPr>
              <w:pStyle w:val="NoSpacing"/>
              <w:ind w:left="-105"/>
              <w:rPr>
                <w:rFonts w:ascii="Arial" w:hAnsi="Arial" w:cs="Arial"/>
              </w:rPr>
            </w:pPr>
          </w:p>
          <w:p>
            <w:pPr>
              <w:pStyle w:val="NoSpacing"/>
              <w:numPr>
                <w:ilvl w:val="0"/>
                <w:numId w:val="4"/>
              </w:numPr>
              <w:tabs>
                <w:tab w:val="left" w:pos="360"/>
              </w:tabs>
              <w:spacing w:line="240" w:lineRule="auto"/>
              <w:ind w:left="-120" w:firstLine="0"/>
              <w:rPr>
                <w:rFonts w:ascii="Arial" w:hAnsi="Arial" w:cs="Arial"/>
              </w:rPr>
            </w:pPr>
            <w:r>
              <w:rPr>
                <w:rFonts w:ascii="Arial" w:hAnsi="Arial" w:cs="Arial"/>
              </w:rPr>
              <w:t xml:space="preserve">The Farmer-Cooperators (FCs) under the </w:t>
            </w:r>
            <w:proofErr w:type="spellStart"/>
            <w:r>
              <w:rPr>
                <w:rFonts w:ascii="Arial" w:hAnsi="Arial" w:cs="Arial"/>
              </w:rPr>
              <w:t>Kahuyang</w:t>
            </w:r>
            <w:proofErr w:type="spellEnd"/>
            <w:r>
              <w:rPr>
                <w:rFonts w:ascii="Arial" w:hAnsi="Arial" w:cs="Arial"/>
              </w:rPr>
              <w:t xml:space="preserve"> </w:t>
            </w:r>
            <w:proofErr w:type="spellStart"/>
            <w:r>
              <w:rPr>
                <w:rFonts w:ascii="Arial" w:hAnsi="Arial" w:cs="Arial"/>
              </w:rPr>
              <w:t>Pangkabuhayan</w:t>
            </w:r>
            <w:proofErr w:type="spellEnd"/>
            <w:r>
              <w:rPr>
                <w:rFonts w:ascii="Arial" w:hAnsi="Arial" w:cs="Arial"/>
              </w:rPr>
              <w:t xml:space="preserve"> at </w:t>
            </w:r>
            <w:proofErr w:type="spellStart"/>
            <w:r>
              <w:rPr>
                <w:rFonts w:ascii="Arial" w:hAnsi="Arial" w:cs="Arial"/>
              </w:rPr>
              <w:t>Pangkalikasan</w:t>
            </w:r>
            <w:proofErr w:type="spellEnd"/>
            <w:r>
              <w:rPr>
                <w:rFonts w:ascii="Arial" w:hAnsi="Arial" w:cs="Arial"/>
              </w:rPr>
              <w:t xml:space="preserve"> (KPP) component of the RFEFPREI were not able to harvest fuelwood  in 2017 due to:              (a) some planted trees did not survive natural calamities in 2015 and 2016; (b) some trees were not ready for harvest since the desirable size for fuelwood was not attained; and (c) full grown trees were not cut due to the regulations of the DENR and LGUs; thus, resulting in low collection of production assistance granted to the FCs in 2013 and non-attainment of the specific objectives of the project which were to supply and augment the energy-fuelwood requirement of the flue-curing Virginia tobacco leaf and promote the creation and development of livelihood enterprises for the tobacco growing communities. Moreover, in view of the inability of NTA to fully attain the objectives of the KPP, the project might not be able to contribute to the achievement of the Sustainable Development Goals (SDGs) of No Poverty (Goal 1) and Life on Land (Goal 15) related to the project’s objectives.</w:t>
            </w:r>
          </w:p>
          <w:p>
            <w:pPr>
              <w:pStyle w:val="NoSpacing"/>
              <w:rPr>
                <w:rFonts w:ascii="Arial" w:hAnsi="Arial" w:cs="Arial"/>
              </w:rPr>
            </w:pPr>
          </w:p>
          <w:p>
            <w:pPr>
              <w:pStyle w:val="NoSpacing"/>
              <w:ind w:left="-105"/>
              <w:rPr>
                <w:rFonts w:ascii="Arial" w:hAnsi="Arial" w:cs="Arial"/>
              </w:rPr>
            </w:pPr>
            <w:r>
              <w:rPr>
                <w:rFonts w:ascii="Arial" w:hAnsi="Arial" w:cs="Arial"/>
              </w:rPr>
              <w:t>We recommended that Management:</w:t>
            </w:r>
          </w:p>
          <w:p>
            <w:pPr>
              <w:pStyle w:val="NoSpacing"/>
              <w:ind w:left="-105"/>
              <w:rPr>
                <w:rFonts w:ascii="Arial" w:hAnsi="Arial" w:cs="Arial"/>
              </w:rPr>
            </w:pPr>
          </w:p>
          <w:p>
            <w:pPr>
              <w:pStyle w:val="NoSpacing"/>
              <w:numPr>
                <w:ilvl w:val="0"/>
                <w:numId w:val="9"/>
              </w:numPr>
              <w:tabs>
                <w:tab w:val="left" w:pos="324"/>
              </w:tabs>
              <w:ind w:left="-110" w:firstLine="0"/>
              <w:rPr>
                <w:rFonts w:ascii="Arial" w:hAnsi="Arial" w:cs="Arial"/>
              </w:rPr>
            </w:pPr>
            <w:r>
              <w:rPr>
                <w:rFonts w:ascii="Arial" w:hAnsi="Arial" w:cs="Arial"/>
              </w:rPr>
              <w:t xml:space="preserve">Coordinate with the DENR and LGUs for the harmonization of their policies and regulations that have impact on harvesting and marketing of fuelwood aspect of the project, in order for the </w:t>
            </w:r>
            <w:r>
              <w:rPr>
                <w:rFonts w:ascii="Arial" w:hAnsi="Arial" w:cs="Arial"/>
              </w:rPr>
              <w:lastRenderedPageBreak/>
              <w:t>FCs to proceed in harvesting and to cash-in their fuelwood produce so that they will be able to settle their loan obligations to NTA; and</w:t>
            </w:r>
          </w:p>
          <w:p>
            <w:pPr>
              <w:pStyle w:val="NoSpacing"/>
              <w:tabs>
                <w:tab w:val="left" w:pos="372"/>
              </w:tabs>
              <w:ind w:left="-105"/>
              <w:rPr>
                <w:rFonts w:ascii="Arial" w:hAnsi="Arial" w:cs="Arial"/>
              </w:rPr>
            </w:pPr>
          </w:p>
          <w:p>
            <w:pPr>
              <w:pStyle w:val="NoSpacing"/>
              <w:tabs>
                <w:tab w:val="left" w:pos="372"/>
              </w:tabs>
              <w:ind w:left="-105"/>
              <w:rPr>
                <w:rFonts w:ascii="Arial" w:hAnsi="Arial" w:cs="Arial"/>
              </w:rPr>
            </w:pPr>
          </w:p>
          <w:p>
            <w:pPr>
              <w:pStyle w:val="NoSpacing"/>
              <w:numPr>
                <w:ilvl w:val="0"/>
                <w:numId w:val="9"/>
              </w:numPr>
              <w:tabs>
                <w:tab w:val="left" w:pos="324"/>
              </w:tabs>
              <w:ind w:left="-110" w:firstLine="0"/>
              <w:rPr>
                <w:rFonts w:ascii="Arial" w:hAnsi="Arial" w:cs="Arial"/>
              </w:rPr>
            </w:pPr>
            <w:r>
              <w:rPr>
                <w:rFonts w:ascii="Arial" w:hAnsi="Arial" w:cs="Arial"/>
              </w:rPr>
              <w:t>See to it that careful planning is undertaken in the conceptualization of projects to be implemented to ensure attainment of the desired objectives and at the same time to contribute in the achievement of the SDG.</w:t>
            </w:r>
          </w:p>
          <w:p>
            <w:pPr>
              <w:pStyle w:val="NoSpacing"/>
              <w:rPr>
                <w:rFonts w:ascii="Arial" w:hAnsi="Arial" w:cs="Arial"/>
                <w:b/>
                <w:u w:val="single"/>
              </w:rPr>
            </w:pPr>
          </w:p>
        </w:tc>
        <w:tc>
          <w:tcPr>
            <w:tcW w:w="4070" w:type="dxa"/>
          </w:tcPr>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right="-108"/>
              <w:rPr>
                <w:rFonts w:ascii="Arial" w:hAnsi="Arial" w:cs="Arial"/>
              </w:rPr>
            </w:pPr>
          </w:p>
          <w:p>
            <w:pPr>
              <w:pStyle w:val="NoSpacing"/>
              <w:ind w:right="-108"/>
              <w:rPr>
                <w:rFonts w:ascii="Arial" w:hAnsi="Arial" w:cs="Arial"/>
              </w:rPr>
            </w:pPr>
          </w:p>
          <w:p>
            <w:pPr>
              <w:pStyle w:val="NoSpacing"/>
              <w:ind w:right="-108"/>
              <w:rPr>
                <w:rFonts w:ascii="Arial" w:hAnsi="Arial" w:cs="Arial"/>
              </w:rPr>
            </w:pPr>
          </w:p>
          <w:p>
            <w:pPr>
              <w:pStyle w:val="NoSpacing"/>
              <w:ind w:right="-108"/>
              <w:rPr>
                <w:rFonts w:ascii="Arial" w:hAnsi="Arial" w:cs="Arial"/>
              </w:rPr>
            </w:pPr>
          </w:p>
          <w:p>
            <w:pPr>
              <w:pStyle w:val="NoSpacing"/>
              <w:ind w:right="-108"/>
              <w:rPr>
                <w:rFonts w:ascii="Arial" w:hAnsi="Arial" w:cs="Arial"/>
              </w:rPr>
            </w:pPr>
          </w:p>
          <w:p>
            <w:pPr>
              <w:pStyle w:val="NoSpacing"/>
              <w:ind w:right="-108"/>
              <w:rPr>
                <w:rFonts w:ascii="Arial" w:hAnsi="Arial" w:cs="Arial"/>
              </w:rPr>
            </w:pPr>
          </w:p>
          <w:p>
            <w:pPr>
              <w:pStyle w:val="NoSpacing"/>
              <w:ind w:right="-108"/>
              <w:rPr>
                <w:rFonts w:ascii="Arial" w:hAnsi="Arial" w:cs="Arial"/>
              </w:rPr>
            </w:pPr>
            <w:r>
              <w:rPr>
                <w:rFonts w:ascii="Arial" w:hAnsi="Arial" w:cs="Arial"/>
              </w:rPr>
              <w:t>Partially Implemented.</w:t>
            </w:r>
          </w:p>
          <w:p>
            <w:pPr>
              <w:pStyle w:val="NoSpacing"/>
              <w:ind w:left="25" w:right="-108"/>
              <w:rPr>
                <w:rFonts w:ascii="Arial" w:hAnsi="Arial" w:cs="Arial"/>
              </w:rPr>
            </w:pPr>
          </w:p>
          <w:p>
            <w:pPr>
              <w:pStyle w:val="NoSpacing"/>
              <w:ind w:left="25" w:right="-108"/>
              <w:rPr>
                <w:rFonts w:ascii="Arial" w:hAnsi="Arial" w:cs="Arial"/>
              </w:rPr>
            </w:pPr>
            <w:r>
              <w:rPr>
                <w:rFonts w:ascii="Arial" w:hAnsi="Arial" w:cs="Arial"/>
              </w:rPr>
              <w:t xml:space="preserve">The permit to cut of 52 clusters in five BOs have been approved by the DENR.  </w:t>
            </w:r>
            <w:r>
              <w:rPr>
                <w:rFonts w:ascii="Arial" w:hAnsi="Arial" w:cs="Arial"/>
              </w:rPr>
              <w:lastRenderedPageBreak/>
              <w:t>No status report has been submitted by the BOs but the issue will be tackled during the next Operations Department meeting.</w:t>
            </w:r>
          </w:p>
          <w:p>
            <w:pPr>
              <w:pStyle w:val="NoSpacing"/>
              <w:ind w:left="25" w:right="-108"/>
              <w:rPr>
                <w:rFonts w:ascii="Arial" w:hAnsi="Arial" w:cs="Arial"/>
              </w:rPr>
            </w:pPr>
          </w:p>
          <w:p>
            <w:pPr>
              <w:pStyle w:val="NoSpacing"/>
              <w:ind w:right="-108"/>
              <w:rPr>
                <w:rFonts w:ascii="Arial" w:hAnsi="Arial" w:cs="Arial"/>
              </w:rPr>
            </w:pPr>
            <w:r>
              <w:rPr>
                <w:rFonts w:ascii="Arial" w:hAnsi="Arial" w:cs="Arial"/>
              </w:rPr>
              <w:t>Partially Implemented.</w:t>
            </w:r>
          </w:p>
          <w:p>
            <w:pPr>
              <w:pStyle w:val="NoSpacing"/>
              <w:ind w:right="-108"/>
              <w:rPr>
                <w:rFonts w:ascii="Arial" w:hAnsi="Arial" w:cs="Arial"/>
              </w:rPr>
            </w:pPr>
          </w:p>
          <w:p>
            <w:pPr>
              <w:pStyle w:val="NoSpacing"/>
              <w:ind w:right="-108"/>
              <w:rPr>
                <w:rFonts w:ascii="Arial" w:hAnsi="Arial" w:cs="Arial"/>
              </w:rPr>
            </w:pPr>
            <w:r>
              <w:rPr>
                <w:rFonts w:ascii="Arial" w:hAnsi="Arial" w:cs="Arial"/>
              </w:rPr>
              <w:t>The NTA BOD decided to suspend the implementation of the project to develop planning strategies to avoid future problems.</w:t>
            </w:r>
          </w:p>
        </w:tc>
      </w:tr>
      <w:tr>
        <w:trPr>
          <w:trHeight w:val="64"/>
        </w:trPr>
        <w:tc>
          <w:tcPr>
            <w:tcW w:w="4750" w:type="dxa"/>
          </w:tcPr>
          <w:p>
            <w:pPr>
              <w:pStyle w:val="NoSpacing"/>
              <w:rPr>
                <w:rFonts w:ascii="Arial" w:hAnsi="Arial" w:cs="Arial"/>
                <w:i/>
              </w:rPr>
            </w:pPr>
          </w:p>
          <w:p>
            <w:pPr>
              <w:pStyle w:val="NoSpacing"/>
              <w:ind w:left="-105"/>
              <w:rPr>
                <w:rFonts w:ascii="Arial" w:hAnsi="Arial" w:cs="Arial"/>
                <w:i/>
              </w:rPr>
            </w:pPr>
            <w:r>
              <w:rPr>
                <w:rFonts w:ascii="Arial" w:hAnsi="Arial" w:cs="Arial"/>
                <w:i/>
              </w:rPr>
              <w:t>TOBACCO DUST PRODUCTION AGRIBUSINESS PROJECT (TDPAP)</w:t>
            </w:r>
          </w:p>
          <w:p>
            <w:pPr>
              <w:pStyle w:val="NoSpacing"/>
              <w:ind w:left="-105"/>
              <w:rPr>
                <w:rFonts w:ascii="Arial" w:hAnsi="Arial" w:cs="Arial"/>
                <w:i/>
              </w:rPr>
            </w:pPr>
          </w:p>
          <w:p>
            <w:pPr>
              <w:pStyle w:val="NoSpacing"/>
              <w:numPr>
                <w:ilvl w:val="0"/>
                <w:numId w:val="4"/>
              </w:numPr>
              <w:tabs>
                <w:tab w:val="left" w:pos="360"/>
              </w:tabs>
              <w:spacing w:line="240" w:lineRule="auto"/>
              <w:ind w:left="-120" w:firstLine="0"/>
              <w:rPr>
                <w:rFonts w:ascii="Arial" w:hAnsi="Arial" w:cs="Arial"/>
              </w:rPr>
            </w:pPr>
            <w:r>
              <w:rPr>
                <w:rFonts w:ascii="Arial" w:hAnsi="Arial" w:cs="Arial"/>
              </w:rPr>
              <w:t xml:space="preserve">The TDPAP located in </w:t>
            </w:r>
            <w:proofErr w:type="spellStart"/>
            <w:r>
              <w:rPr>
                <w:rFonts w:ascii="Arial" w:hAnsi="Arial" w:cs="Arial"/>
              </w:rPr>
              <w:t>Sto</w:t>
            </w:r>
            <w:proofErr w:type="spellEnd"/>
            <w:r>
              <w:rPr>
                <w:rFonts w:ascii="Arial" w:hAnsi="Arial" w:cs="Arial"/>
              </w:rPr>
              <w:t>. Tomas, La Union incurred a total loss of P32.883 million since it started operations in 2009 due to poor planning and execution thus, casting doubt on the ability of NTA to pursue the objective of the project. In addition, the Employees’ Quarter of TDPAP with a net book value of P0.879 million remained idle.</w:t>
            </w:r>
          </w:p>
          <w:p>
            <w:pPr>
              <w:pStyle w:val="NoSpacing"/>
              <w:ind w:left="-105"/>
              <w:rPr>
                <w:rFonts w:ascii="Arial" w:hAnsi="Arial" w:cs="Arial"/>
                <w:u w:val="single"/>
              </w:rPr>
            </w:pPr>
          </w:p>
          <w:p>
            <w:pPr>
              <w:pStyle w:val="NoSpacing"/>
              <w:ind w:left="-105"/>
              <w:rPr>
                <w:rFonts w:ascii="Arial" w:hAnsi="Arial" w:cs="Arial"/>
              </w:rPr>
            </w:pPr>
            <w:r>
              <w:rPr>
                <w:rFonts w:ascii="Arial" w:hAnsi="Arial" w:cs="Arial"/>
              </w:rPr>
              <w:t>We reiterated our recommendations that Management:</w:t>
            </w:r>
          </w:p>
          <w:p>
            <w:pPr>
              <w:pStyle w:val="NoSpacing"/>
              <w:ind w:left="-105"/>
              <w:rPr>
                <w:rFonts w:ascii="Arial" w:hAnsi="Arial" w:cs="Arial"/>
                <w:lang w:val="en-PH"/>
              </w:rPr>
            </w:pPr>
          </w:p>
          <w:p>
            <w:pPr>
              <w:pStyle w:val="NoSpacing"/>
              <w:numPr>
                <w:ilvl w:val="0"/>
                <w:numId w:val="10"/>
              </w:numPr>
              <w:tabs>
                <w:tab w:val="left" w:pos="324"/>
              </w:tabs>
              <w:ind w:left="-110" w:firstLine="0"/>
              <w:rPr>
                <w:rFonts w:ascii="Arial" w:hAnsi="Arial" w:cs="Arial"/>
                <w:lang w:val="en-PH"/>
              </w:rPr>
            </w:pPr>
            <w:r>
              <w:rPr>
                <w:rFonts w:ascii="Arial" w:hAnsi="Arial" w:cs="Arial"/>
                <w:lang w:val="en-PH"/>
              </w:rPr>
              <w:t>Develop alternative business option for the tobacco dust plant in the event that it will no longer pursue its operation such as offer for lease or disposal of the plant so as not to waste government funds and property; and</w:t>
            </w:r>
          </w:p>
          <w:p>
            <w:pPr>
              <w:pStyle w:val="NoSpacing"/>
              <w:ind w:left="-105"/>
              <w:rPr>
                <w:rFonts w:ascii="Arial" w:hAnsi="Arial" w:cs="Arial"/>
                <w:lang w:val="en-PH"/>
              </w:rPr>
            </w:pPr>
          </w:p>
          <w:p>
            <w:pPr>
              <w:pStyle w:val="NoSpacing"/>
              <w:ind w:left="-105"/>
              <w:rPr>
                <w:rFonts w:ascii="Arial" w:hAnsi="Arial" w:cs="Arial"/>
                <w:lang w:val="en-PH"/>
              </w:rPr>
            </w:pPr>
          </w:p>
          <w:p>
            <w:pPr>
              <w:pStyle w:val="NoSpacing"/>
              <w:ind w:left="-105"/>
              <w:rPr>
                <w:rFonts w:ascii="Arial" w:hAnsi="Arial" w:cs="Arial"/>
                <w:lang w:val="en-PH"/>
              </w:rPr>
            </w:pPr>
          </w:p>
          <w:p>
            <w:pPr>
              <w:pStyle w:val="NoSpacing"/>
              <w:ind w:left="-105"/>
              <w:rPr>
                <w:rFonts w:ascii="Arial" w:hAnsi="Arial" w:cs="Arial"/>
                <w:lang w:val="en-PH"/>
              </w:rPr>
            </w:pPr>
          </w:p>
          <w:p>
            <w:pPr>
              <w:pStyle w:val="NoSpacing"/>
              <w:ind w:left="-105"/>
              <w:rPr>
                <w:rFonts w:ascii="Arial" w:hAnsi="Arial" w:cs="Arial"/>
                <w:lang w:val="en-PH"/>
              </w:rPr>
            </w:pPr>
          </w:p>
          <w:p>
            <w:pPr>
              <w:pStyle w:val="NoSpacing"/>
              <w:numPr>
                <w:ilvl w:val="0"/>
                <w:numId w:val="10"/>
              </w:numPr>
              <w:tabs>
                <w:tab w:val="left" w:pos="324"/>
              </w:tabs>
              <w:ind w:left="-110" w:firstLine="0"/>
              <w:rPr>
                <w:rFonts w:ascii="Arial" w:hAnsi="Arial" w:cs="Arial"/>
                <w:lang w:val="en-PH"/>
              </w:rPr>
            </w:pPr>
            <w:r>
              <w:rPr>
                <w:rFonts w:ascii="Arial" w:hAnsi="Arial" w:cs="Arial"/>
                <w:lang w:val="en-PH"/>
              </w:rPr>
              <w:t>Study prudently the status and possible utilization of the Employees’ Quarter of TDPAP and develop an alternative use for it so that economic value will be derived. Moreover, assess the benefits that can be derived therefrom over the cost to prevent further wastage of funds.</w:t>
            </w:r>
          </w:p>
          <w:p>
            <w:pPr>
              <w:pStyle w:val="NoSpacing"/>
              <w:tabs>
                <w:tab w:val="left" w:pos="348"/>
              </w:tabs>
              <w:ind w:left="-105"/>
              <w:rPr>
                <w:rFonts w:ascii="Arial" w:hAnsi="Arial" w:cs="Arial"/>
                <w:lang w:val="en-PH"/>
              </w:rPr>
            </w:pPr>
          </w:p>
          <w:p>
            <w:pPr>
              <w:pStyle w:val="NoSpacing"/>
              <w:tabs>
                <w:tab w:val="left" w:pos="348"/>
              </w:tabs>
              <w:ind w:left="-105"/>
              <w:rPr>
                <w:rFonts w:ascii="Arial" w:hAnsi="Arial" w:cs="Arial"/>
                <w:lang w:val="en-PH"/>
              </w:rPr>
            </w:pPr>
          </w:p>
          <w:p>
            <w:pPr>
              <w:pStyle w:val="NoSpacing"/>
              <w:tabs>
                <w:tab w:val="left" w:pos="348"/>
              </w:tabs>
              <w:rPr>
                <w:rFonts w:ascii="Arial" w:hAnsi="Arial" w:cs="Arial"/>
                <w:lang w:val="en-PH"/>
              </w:rPr>
            </w:pPr>
          </w:p>
          <w:p>
            <w:pPr>
              <w:pStyle w:val="NoSpacing"/>
              <w:tabs>
                <w:tab w:val="left" w:pos="348"/>
              </w:tabs>
              <w:rPr>
                <w:rFonts w:ascii="Arial" w:hAnsi="Arial" w:cs="Arial"/>
                <w:lang w:val="en-PH"/>
              </w:rPr>
            </w:pPr>
          </w:p>
          <w:p>
            <w:pPr>
              <w:pStyle w:val="NoSpacing"/>
              <w:tabs>
                <w:tab w:val="left" w:pos="348"/>
              </w:tabs>
              <w:rPr>
                <w:rFonts w:ascii="Arial" w:hAnsi="Arial" w:cs="Arial"/>
                <w:lang w:val="en-PH"/>
              </w:rPr>
            </w:pPr>
          </w:p>
          <w:p>
            <w:pPr>
              <w:pStyle w:val="NoSpacing"/>
              <w:ind w:left="-105"/>
              <w:rPr>
                <w:rFonts w:ascii="Arial" w:hAnsi="Arial" w:cs="Arial"/>
                <w:i/>
              </w:rPr>
            </w:pPr>
            <w:r>
              <w:rPr>
                <w:rFonts w:ascii="Arial" w:hAnsi="Arial" w:cs="Arial"/>
                <w:i/>
              </w:rPr>
              <w:lastRenderedPageBreak/>
              <w:t xml:space="preserve">AGRIPINOY TOBACCO FARMERS’ PROCESSING PLANT AND TRADING CENTER AND FEED MILLING COMPLEX (NTA </w:t>
            </w:r>
            <w:proofErr w:type="spellStart"/>
            <w:r>
              <w:rPr>
                <w:rFonts w:ascii="Arial" w:hAnsi="Arial" w:cs="Arial"/>
                <w:i/>
              </w:rPr>
              <w:t>AgriPinoy</w:t>
            </w:r>
            <w:proofErr w:type="spellEnd"/>
            <w:r>
              <w:rPr>
                <w:rFonts w:ascii="Arial" w:hAnsi="Arial" w:cs="Arial"/>
                <w:i/>
              </w:rPr>
              <w:t>)</w:t>
            </w:r>
          </w:p>
          <w:p>
            <w:pPr>
              <w:pStyle w:val="NoSpacing"/>
              <w:ind w:left="-105"/>
              <w:rPr>
                <w:rFonts w:ascii="Arial" w:hAnsi="Arial" w:cs="Arial"/>
                <w:i/>
              </w:rPr>
            </w:pPr>
          </w:p>
          <w:p>
            <w:pPr>
              <w:pStyle w:val="NoSpacing"/>
              <w:numPr>
                <w:ilvl w:val="0"/>
                <w:numId w:val="4"/>
              </w:numPr>
              <w:tabs>
                <w:tab w:val="left" w:pos="358"/>
              </w:tabs>
              <w:spacing w:line="240" w:lineRule="auto"/>
              <w:ind w:left="-120" w:firstLine="0"/>
              <w:rPr>
                <w:rFonts w:ascii="Arial" w:hAnsi="Arial" w:cs="Arial"/>
                <w:bCs/>
              </w:rPr>
            </w:pPr>
            <w:proofErr w:type="spellStart"/>
            <w:r>
              <w:rPr>
                <w:rFonts w:ascii="Arial" w:hAnsi="Arial" w:cs="Arial"/>
                <w:bCs/>
              </w:rPr>
              <w:t>AgriPinoy</w:t>
            </w:r>
            <w:proofErr w:type="spellEnd"/>
            <w:r>
              <w:rPr>
                <w:rFonts w:ascii="Arial" w:hAnsi="Arial" w:cs="Arial"/>
                <w:bCs/>
              </w:rPr>
              <w:t xml:space="preserve"> Milling Complex worth P83.075 million was not utilized for its intended purpose resulting in wastage of government funds.</w:t>
            </w:r>
          </w:p>
          <w:p>
            <w:pPr>
              <w:pStyle w:val="ListParagraph"/>
              <w:spacing w:after="100" w:afterAutospacing="1" w:line="240" w:lineRule="auto"/>
              <w:ind w:left="-105"/>
              <w:rPr>
                <w:rFonts w:ascii="Arial" w:hAnsi="Arial" w:cs="Arial"/>
                <w:bCs/>
              </w:rPr>
            </w:pPr>
          </w:p>
          <w:p>
            <w:pPr>
              <w:pStyle w:val="ListParagraph"/>
              <w:tabs>
                <w:tab w:val="left" w:pos="720"/>
              </w:tabs>
              <w:spacing w:after="100" w:afterAutospacing="1" w:line="240" w:lineRule="auto"/>
              <w:ind w:left="-105"/>
              <w:rPr>
                <w:rFonts w:ascii="Arial" w:hAnsi="Arial" w:cs="Arial"/>
                <w:bCs/>
              </w:rPr>
            </w:pPr>
            <w:r>
              <w:rPr>
                <w:rFonts w:ascii="Arial" w:hAnsi="Arial" w:cs="Arial"/>
                <w:bCs/>
              </w:rPr>
              <w:t>We recommended that Management:</w:t>
            </w:r>
          </w:p>
          <w:p>
            <w:pPr>
              <w:pStyle w:val="NoSpacing"/>
              <w:numPr>
                <w:ilvl w:val="0"/>
                <w:numId w:val="3"/>
              </w:numPr>
              <w:tabs>
                <w:tab w:val="left" w:pos="357"/>
              </w:tabs>
              <w:ind w:left="-105" w:firstLine="0"/>
              <w:rPr>
                <w:rFonts w:ascii="Arial" w:hAnsi="Arial" w:cs="Arial"/>
                <w:bCs/>
              </w:rPr>
            </w:pPr>
            <w:r>
              <w:rPr>
                <w:rFonts w:ascii="Arial" w:hAnsi="Arial" w:cs="Arial"/>
                <w:bCs/>
              </w:rPr>
              <w:t>Conduct machine testing to reassess the performance of machineries and equipment; and</w:t>
            </w:r>
          </w:p>
          <w:p>
            <w:pPr>
              <w:pStyle w:val="NoSpacing"/>
              <w:tabs>
                <w:tab w:val="left" w:pos="357"/>
              </w:tabs>
              <w:rPr>
                <w:rFonts w:ascii="Arial" w:hAnsi="Arial" w:cs="Arial"/>
                <w:bCs/>
              </w:rPr>
            </w:pPr>
          </w:p>
          <w:p>
            <w:pPr>
              <w:pStyle w:val="NoSpacing"/>
              <w:tabs>
                <w:tab w:val="left" w:pos="357"/>
              </w:tabs>
              <w:rPr>
                <w:rFonts w:ascii="Arial" w:hAnsi="Arial" w:cs="Arial"/>
                <w:bCs/>
              </w:rPr>
            </w:pPr>
          </w:p>
          <w:p>
            <w:pPr>
              <w:pStyle w:val="NoSpacing"/>
              <w:tabs>
                <w:tab w:val="left" w:pos="357"/>
              </w:tabs>
              <w:rPr>
                <w:rFonts w:ascii="Arial" w:hAnsi="Arial" w:cs="Arial"/>
                <w:bCs/>
              </w:rPr>
            </w:pPr>
          </w:p>
          <w:p>
            <w:pPr>
              <w:pStyle w:val="NoSpacing"/>
              <w:tabs>
                <w:tab w:val="left" w:pos="357"/>
              </w:tabs>
              <w:rPr>
                <w:rFonts w:ascii="Arial" w:hAnsi="Arial" w:cs="Arial"/>
                <w:bCs/>
              </w:rPr>
            </w:pPr>
          </w:p>
          <w:p>
            <w:pPr>
              <w:pStyle w:val="NoSpacing"/>
              <w:tabs>
                <w:tab w:val="left" w:pos="357"/>
              </w:tabs>
              <w:rPr>
                <w:rFonts w:ascii="Arial" w:hAnsi="Arial" w:cs="Arial"/>
                <w:bCs/>
              </w:rPr>
            </w:pPr>
          </w:p>
          <w:p>
            <w:pPr>
              <w:pStyle w:val="NoSpacing"/>
              <w:numPr>
                <w:ilvl w:val="0"/>
                <w:numId w:val="3"/>
              </w:numPr>
              <w:tabs>
                <w:tab w:val="left" w:pos="357"/>
              </w:tabs>
              <w:ind w:left="-105" w:firstLine="0"/>
              <w:rPr>
                <w:rFonts w:ascii="Arial" w:hAnsi="Arial" w:cs="Arial"/>
                <w:bCs/>
              </w:rPr>
            </w:pPr>
            <w:r>
              <w:rPr>
                <w:rFonts w:ascii="Arial" w:hAnsi="Arial" w:cs="Arial"/>
                <w:bCs/>
              </w:rPr>
              <w:t>Engage the services of a licensed appraiser to determine the current value of the machineries and equipment and be able to assess possible impairment loss.</w:t>
            </w:r>
          </w:p>
          <w:p>
            <w:pPr>
              <w:pStyle w:val="NoSpacing"/>
              <w:tabs>
                <w:tab w:val="left" w:pos="357"/>
              </w:tabs>
              <w:ind w:left="-105"/>
              <w:rPr>
                <w:rFonts w:ascii="Arial" w:hAnsi="Arial" w:cs="Arial"/>
                <w:bCs/>
              </w:rPr>
            </w:pPr>
          </w:p>
        </w:tc>
        <w:tc>
          <w:tcPr>
            <w:tcW w:w="4070" w:type="dxa"/>
          </w:tcPr>
          <w:p>
            <w:pPr>
              <w:pStyle w:val="NoSpacing"/>
              <w:ind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spacing w:line="240" w:lineRule="auto"/>
              <w:ind w:right="-108"/>
              <w:rPr>
                <w:rFonts w:ascii="Arial" w:hAnsi="Arial" w:cs="Arial"/>
              </w:rPr>
            </w:pPr>
            <w:r>
              <w:rPr>
                <w:rFonts w:ascii="Arial" w:hAnsi="Arial" w:cs="Arial"/>
              </w:rPr>
              <w:t>Not Implemented.</w:t>
            </w:r>
          </w:p>
          <w:p>
            <w:pPr>
              <w:pStyle w:val="NoSpacing"/>
              <w:ind w:right="-108"/>
              <w:rPr>
                <w:rFonts w:ascii="Arial" w:hAnsi="Arial" w:cs="Arial"/>
              </w:rPr>
            </w:pPr>
          </w:p>
          <w:p>
            <w:pPr>
              <w:pStyle w:val="NoSpacing"/>
              <w:ind w:left="25" w:right="-43"/>
              <w:rPr>
                <w:rFonts w:ascii="Arial" w:hAnsi="Arial" w:cs="Arial"/>
              </w:rPr>
            </w:pPr>
            <w:r>
              <w:rPr>
                <w:rFonts w:ascii="Arial" w:hAnsi="Arial" w:cs="Arial"/>
              </w:rPr>
              <w:t xml:space="preserve">Management has no definite plan laid out as of audit date.  </w:t>
            </w:r>
          </w:p>
          <w:p>
            <w:pPr>
              <w:pStyle w:val="NoSpacing"/>
              <w:ind w:left="25" w:right="-43"/>
              <w:rPr>
                <w:rFonts w:ascii="Arial" w:hAnsi="Arial" w:cs="Arial"/>
              </w:rPr>
            </w:pPr>
          </w:p>
          <w:p>
            <w:pPr>
              <w:pStyle w:val="NoSpacing"/>
              <w:ind w:left="25" w:right="-43"/>
              <w:rPr>
                <w:rFonts w:ascii="Arial" w:hAnsi="Arial" w:cs="Arial"/>
              </w:rPr>
            </w:pPr>
            <w:r>
              <w:rPr>
                <w:rFonts w:ascii="Arial" w:hAnsi="Arial" w:cs="Arial"/>
              </w:rPr>
              <w:t>The TDPAP incurred net loss of P3.270 million in 2020 despite the discontinuance of its operations in        CY 2019.</w:t>
            </w:r>
          </w:p>
          <w:p>
            <w:pPr>
              <w:pStyle w:val="NoSpacing"/>
              <w:ind w:left="25" w:right="-43"/>
              <w:rPr>
                <w:rFonts w:ascii="Arial" w:hAnsi="Arial" w:cs="Arial"/>
              </w:rPr>
            </w:pPr>
          </w:p>
          <w:p>
            <w:pPr>
              <w:pStyle w:val="NoSpacing"/>
              <w:ind w:right="-108"/>
              <w:rPr>
                <w:rFonts w:ascii="Arial" w:hAnsi="Arial" w:cs="Arial"/>
              </w:rPr>
            </w:pPr>
            <w:r>
              <w:rPr>
                <w:rFonts w:ascii="Arial" w:hAnsi="Arial" w:cs="Arial"/>
              </w:rPr>
              <w:t>Not Implemented.</w:t>
            </w:r>
          </w:p>
          <w:p>
            <w:pPr>
              <w:pStyle w:val="NoSpacing"/>
              <w:ind w:left="25" w:right="-108"/>
              <w:rPr>
                <w:rFonts w:ascii="Arial" w:hAnsi="Arial" w:cs="Arial"/>
              </w:rPr>
            </w:pPr>
          </w:p>
          <w:p>
            <w:pPr>
              <w:pStyle w:val="NoSpacing"/>
              <w:ind w:left="25" w:right="-108"/>
              <w:rPr>
                <w:rFonts w:ascii="Arial" w:hAnsi="Arial" w:cs="Arial"/>
              </w:rPr>
            </w:pPr>
            <w:r>
              <w:rPr>
                <w:rFonts w:ascii="Arial" w:hAnsi="Arial" w:cs="Arial"/>
              </w:rPr>
              <w:t xml:space="preserve">Per confirmation with the Project Manager, the Management has not commented on its plans on the employees’ quarters.  However, it is being used as stockroom of obsolete inventories since it can no longer be used as quarters. </w:t>
            </w:r>
          </w:p>
          <w:p>
            <w:pPr>
              <w:pStyle w:val="NoSpacing"/>
              <w:tabs>
                <w:tab w:val="left" w:pos="2470"/>
              </w:tabs>
              <w:ind w:left="25" w:right="-108"/>
              <w:rPr>
                <w:rFonts w:ascii="Arial" w:hAnsi="Arial" w:cs="Arial"/>
              </w:rPr>
            </w:pPr>
            <w:r>
              <w:rPr>
                <w:rFonts w:ascii="Arial" w:hAnsi="Arial" w:cs="Arial"/>
              </w:rPr>
              <w:tab/>
            </w: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right="-108"/>
              <w:rPr>
                <w:rFonts w:ascii="Arial" w:hAnsi="Arial" w:cs="Arial"/>
              </w:rPr>
            </w:pPr>
          </w:p>
          <w:p>
            <w:pPr>
              <w:pStyle w:val="NoSpacing"/>
              <w:ind w:right="-108"/>
              <w:rPr>
                <w:rFonts w:ascii="Arial" w:hAnsi="Arial" w:cs="Arial"/>
              </w:rPr>
            </w:pPr>
          </w:p>
          <w:p>
            <w:pPr>
              <w:pStyle w:val="NoSpacing"/>
              <w:ind w:right="-108"/>
              <w:rPr>
                <w:rFonts w:ascii="Arial" w:hAnsi="Arial" w:cs="Arial"/>
              </w:rPr>
            </w:pPr>
          </w:p>
          <w:p>
            <w:pPr>
              <w:pStyle w:val="NoSpacing"/>
              <w:ind w:right="-108"/>
              <w:rPr>
                <w:rFonts w:ascii="Arial" w:hAnsi="Arial" w:cs="Arial"/>
              </w:rPr>
            </w:pPr>
          </w:p>
          <w:p>
            <w:pPr>
              <w:pStyle w:val="NoSpacing"/>
              <w:ind w:right="-108"/>
              <w:rPr>
                <w:rFonts w:ascii="Arial" w:hAnsi="Arial" w:cs="Arial"/>
              </w:rPr>
            </w:pPr>
          </w:p>
          <w:p>
            <w:pPr>
              <w:pStyle w:val="NoSpacing"/>
              <w:ind w:right="-108"/>
              <w:rPr>
                <w:rFonts w:ascii="Arial" w:hAnsi="Arial" w:cs="Arial"/>
              </w:rPr>
            </w:pPr>
            <w:r>
              <w:rPr>
                <w:rFonts w:ascii="Arial" w:hAnsi="Arial" w:cs="Arial"/>
              </w:rPr>
              <w:t>Partially Implemented.</w:t>
            </w:r>
          </w:p>
          <w:p>
            <w:pPr>
              <w:pStyle w:val="NoSpacing"/>
              <w:ind w:left="25" w:right="-108"/>
              <w:rPr>
                <w:rFonts w:ascii="Arial" w:hAnsi="Arial" w:cs="Arial"/>
              </w:rPr>
            </w:pPr>
          </w:p>
          <w:p>
            <w:pPr>
              <w:pStyle w:val="NoSpacing"/>
              <w:ind w:right="-43"/>
              <w:rPr>
                <w:rFonts w:ascii="Arial" w:hAnsi="Arial" w:cs="Arial"/>
              </w:rPr>
            </w:pPr>
            <w:r>
              <w:rPr>
                <w:rFonts w:ascii="Arial" w:hAnsi="Arial" w:cs="Arial"/>
              </w:rPr>
              <w:t>Management hired a Mechanical Foreman on November 3, 2020 to conduct the machine testing.  However, no status report was submitted on the result of assessment made.</w:t>
            </w:r>
          </w:p>
          <w:p>
            <w:pPr>
              <w:pStyle w:val="NoSpacing"/>
              <w:ind w:right="-43"/>
              <w:rPr>
                <w:rFonts w:ascii="Arial" w:hAnsi="Arial" w:cs="Arial"/>
              </w:rPr>
            </w:pPr>
          </w:p>
          <w:p>
            <w:pPr>
              <w:pStyle w:val="NoSpacing"/>
              <w:ind w:left="25" w:right="-108"/>
              <w:rPr>
                <w:rFonts w:ascii="Arial" w:hAnsi="Arial" w:cs="Arial"/>
              </w:rPr>
            </w:pPr>
            <w:r>
              <w:rPr>
                <w:rFonts w:ascii="Arial" w:hAnsi="Arial" w:cs="Arial"/>
              </w:rPr>
              <w:t>Not Implemented.</w:t>
            </w:r>
          </w:p>
          <w:p>
            <w:pPr>
              <w:pStyle w:val="NoSpacing"/>
              <w:ind w:left="25" w:right="-108"/>
              <w:rPr>
                <w:rFonts w:ascii="Arial" w:hAnsi="Arial" w:cs="Arial"/>
              </w:rPr>
            </w:pPr>
          </w:p>
          <w:p>
            <w:pPr>
              <w:pStyle w:val="NoSpacing"/>
              <w:ind w:left="25" w:right="-108"/>
              <w:rPr>
                <w:rFonts w:ascii="Arial" w:hAnsi="Arial" w:cs="Arial"/>
              </w:rPr>
            </w:pPr>
            <w:r>
              <w:rPr>
                <w:rFonts w:ascii="Arial" w:hAnsi="Arial" w:cs="Arial"/>
              </w:rPr>
              <w:t xml:space="preserve">The milling complex is currently being leased by the </w:t>
            </w:r>
            <w:proofErr w:type="spellStart"/>
            <w:r>
              <w:rPr>
                <w:rFonts w:ascii="Arial" w:hAnsi="Arial" w:cs="Arial"/>
              </w:rPr>
              <w:t>Abra</w:t>
            </w:r>
            <w:proofErr w:type="spellEnd"/>
            <w:r>
              <w:rPr>
                <w:rFonts w:ascii="Arial" w:hAnsi="Arial" w:cs="Arial"/>
              </w:rPr>
              <w:t xml:space="preserve"> Diocesan Teachers and Employees Multi-purpose Cooperative (ADTEMPCO).</w:t>
            </w:r>
          </w:p>
          <w:p>
            <w:pPr>
              <w:pStyle w:val="NoSpacing"/>
              <w:ind w:left="25" w:right="-43"/>
              <w:rPr>
                <w:rFonts w:ascii="Arial" w:hAnsi="Arial" w:cs="Arial"/>
              </w:rPr>
            </w:pPr>
          </w:p>
        </w:tc>
      </w:tr>
      <w:tr>
        <w:trPr>
          <w:trHeight w:val="480"/>
        </w:trPr>
        <w:tc>
          <w:tcPr>
            <w:tcW w:w="4750" w:type="dxa"/>
          </w:tcPr>
          <w:p>
            <w:pPr>
              <w:pStyle w:val="NoSpacing"/>
              <w:ind w:left="-105"/>
              <w:rPr>
                <w:rFonts w:ascii="Arial" w:hAnsi="Arial" w:cs="Arial"/>
                <w:b/>
                <w:u w:val="single"/>
              </w:rPr>
            </w:pPr>
            <w:r>
              <w:rPr>
                <w:rFonts w:ascii="Arial" w:hAnsi="Arial" w:cs="Arial"/>
                <w:b/>
                <w:u w:val="single"/>
              </w:rPr>
              <w:lastRenderedPageBreak/>
              <w:t>CY 2016 AAR</w:t>
            </w:r>
          </w:p>
          <w:p>
            <w:pPr>
              <w:pStyle w:val="NoSpacing"/>
              <w:ind w:left="-105"/>
              <w:rPr>
                <w:rFonts w:ascii="Arial" w:hAnsi="Arial" w:cs="Arial"/>
              </w:rPr>
            </w:pPr>
          </w:p>
          <w:p>
            <w:pPr>
              <w:pStyle w:val="NoSpacing"/>
              <w:numPr>
                <w:ilvl w:val="0"/>
                <w:numId w:val="4"/>
              </w:numPr>
              <w:tabs>
                <w:tab w:val="left" w:pos="358"/>
              </w:tabs>
              <w:spacing w:line="240" w:lineRule="auto"/>
              <w:ind w:left="-120" w:firstLine="0"/>
              <w:rPr>
                <w:rFonts w:ascii="Arial" w:hAnsi="Arial" w:cs="Arial"/>
              </w:rPr>
            </w:pPr>
            <w:r>
              <w:rPr>
                <w:rFonts w:ascii="Arial" w:hAnsi="Arial" w:cs="Arial"/>
              </w:rPr>
              <w:t>The low collection efficiency of only P124.032 million or 35.71 percent out of the estimated collectibles of P347.305 million in      CY 2016 on loans receivable were attributed to financial, technical and other problems of the tobacco farmers, which include, among others: a) proceeds from tobacco sales were not enough to cover amortization or used for other priorities of loan borrowers; b) over exposure of borrowers to various loan programs; and              c) damaged crop or poor harvest of tobacco farmers; thus, depriving NTA of the much needed funds in the pursuit of its mandate.</w:t>
            </w:r>
          </w:p>
          <w:p>
            <w:pPr>
              <w:pStyle w:val="NoSpacing"/>
              <w:ind w:left="-105"/>
              <w:rPr>
                <w:rFonts w:ascii="Arial" w:hAnsi="Arial" w:cs="Arial"/>
              </w:rPr>
            </w:pPr>
          </w:p>
          <w:p>
            <w:pPr>
              <w:pStyle w:val="NoSpacing"/>
              <w:ind w:left="-105"/>
              <w:rPr>
                <w:rFonts w:ascii="Arial" w:hAnsi="Arial" w:cs="Arial"/>
              </w:rPr>
            </w:pPr>
            <w:r>
              <w:rPr>
                <w:rFonts w:ascii="Arial" w:hAnsi="Arial" w:cs="Arial"/>
              </w:rPr>
              <w:t>We reiterated our previous year’s recommendations that Management:</w:t>
            </w:r>
          </w:p>
          <w:p>
            <w:pPr>
              <w:pStyle w:val="NoSpacing"/>
              <w:ind w:left="-105"/>
              <w:rPr>
                <w:rFonts w:ascii="Arial" w:hAnsi="Arial" w:cs="Arial"/>
              </w:rPr>
            </w:pPr>
          </w:p>
          <w:p>
            <w:pPr>
              <w:pStyle w:val="NoSpacing"/>
              <w:numPr>
                <w:ilvl w:val="0"/>
                <w:numId w:val="15"/>
              </w:numPr>
              <w:tabs>
                <w:tab w:val="left" w:pos="360"/>
              </w:tabs>
              <w:ind w:left="-90" w:hanging="15"/>
              <w:rPr>
                <w:rFonts w:ascii="Arial" w:hAnsi="Arial" w:cs="Arial"/>
              </w:rPr>
            </w:pPr>
            <w:r>
              <w:rPr>
                <w:rFonts w:ascii="Arial" w:hAnsi="Arial" w:cs="Arial"/>
              </w:rPr>
              <w:t xml:space="preserve">Limit to viable and sustainable projects those loans to be extended to farmers to ensure collection, consider granting of loans only to those tobacco-farmers in good credit standing, and deduct from the proceeds of a new loan the </w:t>
            </w:r>
            <w:r>
              <w:rPr>
                <w:rFonts w:ascii="Arial" w:hAnsi="Arial" w:cs="Arial"/>
              </w:rPr>
              <w:lastRenderedPageBreak/>
              <w:t>previous loan balances of farmer-</w:t>
            </w:r>
            <w:proofErr w:type="spellStart"/>
            <w:r>
              <w:rPr>
                <w:rFonts w:ascii="Arial" w:hAnsi="Arial" w:cs="Arial"/>
              </w:rPr>
              <w:t>availees</w:t>
            </w:r>
            <w:proofErr w:type="spellEnd"/>
            <w:r>
              <w:rPr>
                <w:rFonts w:ascii="Arial" w:hAnsi="Arial" w:cs="Arial"/>
              </w:rPr>
              <w:t xml:space="preserve"> to prevent accumulation of arrearages; and</w:t>
            </w:r>
          </w:p>
          <w:p>
            <w:pPr>
              <w:pStyle w:val="NoSpacing"/>
              <w:tabs>
                <w:tab w:val="left" w:pos="360"/>
              </w:tabs>
              <w:ind w:left="355"/>
              <w:rPr>
                <w:rFonts w:ascii="Arial" w:hAnsi="Arial" w:cs="Arial"/>
              </w:rPr>
            </w:pPr>
          </w:p>
          <w:p>
            <w:pPr>
              <w:pStyle w:val="NoSpacing"/>
              <w:numPr>
                <w:ilvl w:val="0"/>
                <w:numId w:val="15"/>
              </w:numPr>
              <w:tabs>
                <w:tab w:val="left" w:pos="360"/>
              </w:tabs>
              <w:ind w:left="-90" w:hanging="15"/>
              <w:rPr>
                <w:rFonts w:ascii="Arial" w:hAnsi="Arial" w:cs="Arial"/>
              </w:rPr>
            </w:pPr>
            <w:r>
              <w:rPr>
                <w:rFonts w:ascii="Arial" w:hAnsi="Arial" w:cs="Arial"/>
              </w:rPr>
              <w:t>File collection suits, if warranted.</w:t>
            </w:r>
          </w:p>
          <w:p>
            <w:pPr>
              <w:pStyle w:val="NoSpacing"/>
              <w:ind w:left="-105"/>
              <w:rPr>
                <w:rFonts w:ascii="Arial" w:hAnsi="Arial" w:cs="Arial"/>
              </w:rPr>
            </w:pPr>
          </w:p>
          <w:p>
            <w:pPr>
              <w:pStyle w:val="NoSpacing"/>
              <w:tabs>
                <w:tab w:val="left" w:pos="357"/>
              </w:tabs>
              <w:rPr>
                <w:rFonts w:ascii="Arial" w:hAnsi="Arial" w:cs="Arial"/>
                <w:b/>
                <w:u w:val="single"/>
              </w:rPr>
            </w:pPr>
          </w:p>
        </w:tc>
        <w:tc>
          <w:tcPr>
            <w:tcW w:w="4070" w:type="dxa"/>
          </w:tcPr>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right="-108"/>
              <w:rPr>
                <w:rFonts w:ascii="Arial" w:hAnsi="Arial" w:cs="Arial"/>
              </w:rPr>
            </w:pPr>
            <w:r>
              <w:rPr>
                <w:rFonts w:ascii="Arial" w:hAnsi="Arial" w:cs="Arial"/>
              </w:rPr>
              <w:t>Revised and reformulated in Part II – Observations and Recommendations No. 4 of this Report.</w:t>
            </w:r>
          </w:p>
          <w:p>
            <w:pPr>
              <w:pStyle w:val="NoSpacing"/>
              <w:ind w:right="-108"/>
              <w:rPr>
                <w:rFonts w:ascii="Arial" w:hAnsi="Arial" w:cs="Arial"/>
              </w:rPr>
            </w:pPr>
          </w:p>
          <w:p>
            <w:pPr>
              <w:pStyle w:val="NoSpacing"/>
              <w:ind w:right="-108"/>
              <w:rPr>
                <w:rFonts w:ascii="Arial" w:hAnsi="Arial" w:cs="Arial"/>
              </w:rPr>
            </w:pPr>
          </w:p>
          <w:p>
            <w:pPr>
              <w:pStyle w:val="NoSpacing"/>
              <w:ind w:right="-108"/>
              <w:rPr>
                <w:rFonts w:ascii="Arial" w:hAnsi="Arial" w:cs="Arial"/>
              </w:rPr>
            </w:pPr>
          </w:p>
          <w:p>
            <w:pPr>
              <w:pStyle w:val="NoSpacing"/>
              <w:ind w:right="-108"/>
              <w:rPr>
                <w:rFonts w:ascii="Arial" w:hAnsi="Arial" w:cs="Arial"/>
              </w:rPr>
            </w:pPr>
          </w:p>
          <w:p>
            <w:pPr>
              <w:pStyle w:val="NoSpacing"/>
              <w:ind w:right="-108"/>
              <w:rPr>
                <w:rFonts w:ascii="Arial" w:hAnsi="Arial" w:cs="Arial"/>
              </w:rPr>
            </w:pPr>
          </w:p>
          <w:p>
            <w:pPr>
              <w:pStyle w:val="NoSpacing"/>
              <w:ind w:right="-108"/>
              <w:rPr>
                <w:rFonts w:ascii="Arial" w:hAnsi="Arial" w:cs="Arial"/>
              </w:rPr>
            </w:pPr>
            <w:r>
              <w:rPr>
                <w:rFonts w:ascii="Arial" w:hAnsi="Arial" w:cs="Arial"/>
              </w:rPr>
              <w:t>Partially Implemented.</w:t>
            </w:r>
          </w:p>
          <w:p>
            <w:pPr>
              <w:pStyle w:val="NoSpacing"/>
              <w:ind w:right="-108"/>
              <w:rPr>
                <w:rFonts w:ascii="Arial" w:hAnsi="Arial" w:cs="Arial"/>
              </w:rPr>
            </w:pPr>
          </w:p>
          <w:p>
            <w:pPr>
              <w:pStyle w:val="NoSpacing"/>
              <w:ind w:right="-108"/>
              <w:rPr>
                <w:rFonts w:ascii="Arial" w:hAnsi="Arial" w:cs="Arial"/>
              </w:rPr>
            </w:pPr>
            <w:r>
              <w:rPr>
                <w:rFonts w:ascii="Arial" w:hAnsi="Arial" w:cs="Arial"/>
              </w:rPr>
              <w:t>Management is exerting other means to collect from defaulting farmer-beneficiaries with long overdue accounts.</w:t>
            </w:r>
          </w:p>
          <w:p>
            <w:pPr>
              <w:pStyle w:val="NoSpacing"/>
              <w:rPr>
                <w:rFonts w:ascii="Arial" w:hAnsi="Arial" w:cs="Arial"/>
                <w:sz w:val="20"/>
              </w:rPr>
            </w:pPr>
          </w:p>
        </w:tc>
      </w:tr>
      <w:tr>
        <w:trPr>
          <w:trHeight w:val="495"/>
        </w:trPr>
        <w:tc>
          <w:tcPr>
            <w:tcW w:w="4750" w:type="dxa"/>
            <w:tcBorders>
              <w:bottom w:val="single" w:sz="4" w:space="0" w:color="auto"/>
            </w:tcBorders>
          </w:tcPr>
          <w:p>
            <w:pPr>
              <w:pStyle w:val="NoSpacing"/>
              <w:ind w:left="-105"/>
              <w:rPr>
                <w:rFonts w:ascii="Arial" w:hAnsi="Arial" w:cs="Arial"/>
                <w:b/>
                <w:u w:val="single"/>
              </w:rPr>
            </w:pPr>
            <w:r>
              <w:rPr>
                <w:rFonts w:ascii="Arial" w:hAnsi="Arial" w:cs="Arial"/>
                <w:b/>
                <w:u w:val="single"/>
              </w:rPr>
              <w:lastRenderedPageBreak/>
              <w:t>CY 2015 AAR</w:t>
            </w:r>
          </w:p>
          <w:p>
            <w:pPr>
              <w:pStyle w:val="NoSpacing"/>
              <w:ind w:left="-105"/>
              <w:rPr>
                <w:rFonts w:ascii="Arial" w:hAnsi="Arial" w:cs="Arial"/>
                <w:b/>
                <w:u w:val="single"/>
              </w:rPr>
            </w:pPr>
          </w:p>
          <w:p>
            <w:pPr>
              <w:pStyle w:val="NoSpacing"/>
              <w:numPr>
                <w:ilvl w:val="0"/>
                <w:numId w:val="4"/>
              </w:numPr>
              <w:tabs>
                <w:tab w:val="left" w:pos="358"/>
              </w:tabs>
              <w:spacing w:line="240" w:lineRule="auto"/>
              <w:ind w:left="-120" w:firstLine="0"/>
              <w:rPr>
                <w:rFonts w:ascii="Arial" w:hAnsi="Arial" w:cs="Arial"/>
              </w:rPr>
            </w:pPr>
            <w:r>
              <w:rPr>
                <w:rFonts w:ascii="Arial" w:hAnsi="Arial" w:cs="Arial"/>
              </w:rPr>
              <w:t xml:space="preserve">The proposal for </w:t>
            </w:r>
            <w:proofErr w:type="spellStart"/>
            <w:r>
              <w:rPr>
                <w:rFonts w:ascii="Arial" w:hAnsi="Arial" w:cs="Arial"/>
              </w:rPr>
              <w:t>dacion</w:t>
            </w:r>
            <w:proofErr w:type="spellEnd"/>
            <w:r>
              <w:rPr>
                <w:rFonts w:ascii="Arial" w:hAnsi="Arial" w:cs="Arial"/>
              </w:rPr>
              <w:t xml:space="preserve"> </w:t>
            </w:r>
            <w:proofErr w:type="spellStart"/>
            <w:r>
              <w:rPr>
                <w:rFonts w:ascii="Arial" w:hAnsi="Arial" w:cs="Arial"/>
              </w:rPr>
              <w:t>en</w:t>
            </w:r>
            <w:proofErr w:type="spellEnd"/>
            <w:r>
              <w:rPr>
                <w:rFonts w:ascii="Arial" w:hAnsi="Arial" w:cs="Arial"/>
              </w:rPr>
              <w:t xml:space="preserve"> </w:t>
            </w:r>
            <w:proofErr w:type="spellStart"/>
            <w:r>
              <w:rPr>
                <w:rFonts w:ascii="Arial" w:hAnsi="Arial" w:cs="Arial"/>
              </w:rPr>
              <w:t>pago</w:t>
            </w:r>
            <w:proofErr w:type="spellEnd"/>
            <w:r>
              <w:rPr>
                <w:rFonts w:ascii="Arial" w:hAnsi="Arial" w:cs="Arial"/>
              </w:rPr>
              <w:t xml:space="preserve"> of NTA to the PDIC for the disposable portions of its properties in Rodriguez, Rizal as full equivalent/settlement of its principal loan, interest  and penalty charges from the Philippine National Bank (PNB) that were </w:t>
            </w:r>
            <w:proofErr w:type="spellStart"/>
            <w:r>
              <w:rPr>
                <w:rFonts w:ascii="Arial" w:hAnsi="Arial" w:cs="Arial"/>
              </w:rPr>
              <w:t>dacioned</w:t>
            </w:r>
            <w:proofErr w:type="spellEnd"/>
            <w:r>
              <w:rPr>
                <w:rFonts w:ascii="Arial" w:hAnsi="Arial" w:cs="Arial"/>
              </w:rPr>
              <w:t>/transferred by the latter to PDIC in     CY 2002 remained unsettled; thus, original loan, interest and penalty of P78.729 million have substantially increased to P282.998 million as at December 31, 2015 due to accumulation of interest and penalty charges of P67.674 million and P136.595 million, respectively.  These penalties and charges were not recorded in the books thereby understating the expense and liability accounts by P204.269 million and overstating the Accumulated Surplus</w:t>
            </w:r>
            <w:proofErr w:type="gramStart"/>
            <w:r>
              <w:rPr>
                <w:rFonts w:ascii="Arial" w:hAnsi="Arial" w:cs="Arial"/>
              </w:rPr>
              <w:t>/(</w:t>
            </w:r>
            <w:proofErr w:type="gramEnd"/>
            <w:r>
              <w:rPr>
                <w:rFonts w:ascii="Arial" w:hAnsi="Arial" w:cs="Arial"/>
              </w:rPr>
              <w:t>Deficit) by the same amount.</w:t>
            </w:r>
          </w:p>
          <w:p>
            <w:pPr>
              <w:pStyle w:val="NoSpacing"/>
              <w:tabs>
                <w:tab w:val="left" w:pos="358"/>
              </w:tabs>
              <w:spacing w:line="240" w:lineRule="auto"/>
              <w:ind w:left="-120"/>
              <w:rPr>
                <w:rFonts w:ascii="Arial" w:hAnsi="Arial" w:cs="Arial"/>
              </w:rPr>
            </w:pPr>
          </w:p>
          <w:p>
            <w:pPr>
              <w:pStyle w:val="NoSpacing"/>
              <w:ind w:left="-105"/>
              <w:rPr>
                <w:rFonts w:ascii="Arial" w:hAnsi="Arial" w:cs="Arial"/>
                <w:b/>
                <w:u w:val="single"/>
              </w:rPr>
            </w:pPr>
            <w:r>
              <w:rPr>
                <w:rFonts w:ascii="Arial" w:hAnsi="Arial" w:cs="Arial"/>
              </w:rPr>
              <w:t xml:space="preserve">We recommended that Management make a representation with PDIC for the speedy approval of their proposal for </w:t>
            </w:r>
            <w:proofErr w:type="spellStart"/>
            <w:r>
              <w:rPr>
                <w:rFonts w:ascii="Arial" w:hAnsi="Arial" w:cs="Arial"/>
              </w:rPr>
              <w:t>dacion</w:t>
            </w:r>
            <w:proofErr w:type="spellEnd"/>
            <w:r>
              <w:rPr>
                <w:rFonts w:ascii="Arial" w:hAnsi="Arial" w:cs="Arial"/>
              </w:rPr>
              <w:t xml:space="preserve"> </w:t>
            </w:r>
            <w:proofErr w:type="spellStart"/>
            <w:r>
              <w:rPr>
                <w:rFonts w:ascii="Arial" w:hAnsi="Arial" w:cs="Arial"/>
              </w:rPr>
              <w:t>en</w:t>
            </w:r>
            <w:proofErr w:type="spellEnd"/>
            <w:r>
              <w:rPr>
                <w:rFonts w:ascii="Arial" w:hAnsi="Arial" w:cs="Arial"/>
              </w:rPr>
              <w:t xml:space="preserve"> </w:t>
            </w:r>
            <w:proofErr w:type="spellStart"/>
            <w:r>
              <w:rPr>
                <w:rFonts w:ascii="Arial" w:hAnsi="Arial" w:cs="Arial"/>
              </w:rPr>
              <w:t>pago</w:t>
            </w:r>
            <w:proofErr w:type="spellEnd"/>
            <w:r>
              <w:rPr>
                <w:rFonts w:ascii="Arial" w:hAnsi="Arial" w:cs="Arial"/>
              </w:rPr>
              <w:t xml:space="preserve"> to prevent further accumulation of interest and penalty charges.</w:t>
            </w:r>
          </w:p>
          <w:p>
            <w:pPr>
              <w:pStyle w:val="NoSpacing"/>
              <w:ind w:left="-105"/>
              <w:rPr>
                <w:rFonts w:ascii="Arial" w:hAnsi="Arial" w:cs="Arial"/>
                <w:b/>
                <w:u w:val="single"/>
              </w:rPr>
            </w:pPr>
          </w:p>
        </w:tc>
        <w:tc>
          <w:tcPr>
            <w:tcW w:w="4070" w:type="dxa"/>
            <w:tcBorders>
              <w:bottom w:val="single" w:sz="4" w:space="0" w:color="auto"/>
            </w:tcBorders>
          </w:tcPr>
          <w:p>
            <w:pPr>
              <w:pStyle w:val="NoSpacing"/>
              <w:ind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left="25" w:right="-108"/>
              <w:rPr>
                <w:rFonts w:ascii="Arial" w:hAnsi="Arial" w:cs="Arial"/>
              </w:rPr>
            </w:pPr>
          </w:p>
          <w:p>
            <w:pPr>
              <w:pStyle w:val="NoSpacing"/>
              <w:ind w:right="-108"/>
              <w:rPr>
                <w:rFonts w:ascii="Arial" w:hAnsi="Arial" w:cs="Arial"/>
              </w:rPr>
            </w:pPr>
          </w:p>
          <w:p>
            <w:pPr>
              <w:pStyle w:val="NoSpacing"/>
              <w:ind w:right="-108"/>
              <w:rPr>
                <w:rFonts w:ascii="Arial" w:hAnsi="Arial" w:cs="Arial"/>
              </w:rPr>
            </w:pPr>
            <w:r>
              <w:rPr>
                <w:rFonts w:ascii="Arial" w:hAnsi="Arial" w:cs="Arial"/>
              </w:rPr>
              <w:t>Partially Implemented.</w:t>
            </w:r>
          </w:p>
          <w:p>
            <w:pPr>
              <w:pStyle w:val="NoSpacing"/>
              <w:ind w:left="25" w:right="-108"/>
              <w:rPr>
                <w:rFonts w:ascii="Arial" w:hAnsi="Arial" w:cs="Arial"/>
              </w:rPr>
            </w:pPr>
          </w:p>
          <w:p>
            <w:pPr>
              <w:pStyle w:val="NoSpacing"/>
              <w:ind w:left="25"/>
              <w:rPr>
                <w:rFonts w:ascii="Arial" w:hAnsi="Arial" w:cs="Arial"/>
              </w:rPr>
            </w:pPr>
            <w:r>
              <w:rPr>
                <w:rFonts w:ascii="Arial" w:hAnsi="Arial" w:cs="Arial"/>
              </w:rPr>
              <w:t>In a letter dated February 3, 2021, the PDIC informed Management that they are currently evaluating the proposal of loan restructuring and they will be notified on the result of the counter proposal once the final terms are approved by the appropriate approving authority.</w:t>
            </w:r>
          </w:p>
        </w:tc>
      </w:tr>
    </w:tbl>
    <w:p>
      <w:pPr>
        <w:tabs>
          <w:tab w:val="left" w:pos="3070"/>
        </w:tabs>
        <w:rPr>
          <w:rFonts w:ascii="Arial" w:hAnsi="Arial" w:cs="Arial"/>
          <w:sz w:val="4"/>
        </w:rPr>
      </w:pPr>
    </w:p>
    <w:sectPr>
      <w:footerReference w:type="default" r:id="rId8"/>
      <w:pgSz w:w="12240" w:h="15840" w:code="1"/>
      <w:pgMar w:top="1440" w:right="1440" w:bottom="1276" w:left="1440" w:header="720" w:footer="720" w:gutter="720"/>
      <w:paperSrc w:first="15" w:other="15"/>
      <w:pgNumType w:start="78"/>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0"/>
        <w:szCs w:val="20"/>
      </w:rPr>
      <w:id w:val="-1324047068"/>
      <w:docPartObj>
        <w:docPartGallery w:val="Page Numbers (Bottom of Page)"/>
        <w:docPartUnique/>
      </w:docPartObj>
    </w:sdtPr>
    <w:sdtEndPr>
      <w:rPr>
        <w:noProof/>
      </w:rPr>
    </w:sdtEndPr>
    <w:sdtContent>
      <w:p>
        <w:pPr>
          <w:pStyle w:val="Footer"/>
          <w:jc w:val="right"/>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PAGE   \* MERGEFORMAT </w:instrText>
        </w:r>
        <w:r>
          <w:rPr>
            <w:rFonts w:ascii="Arial" w:hAnsi="Arial" w:cs="Arial"/>
            <w:sz w:val="20"/>
            <w:szCs w:val="20"/>
          </w:rPr>
          <w:fldChar w:fldCharType="separate"/>
        </w:r>
        <w:r>
          <w:rPr>
            <w:rFonts w:ascii="Arial" w:hAnsi="Arial" w:cs="Arial"/>
            <w:noProof/>
            <w:sz w:val="20"/>
            <w:szCs w:val="20"/>
          </w:rPr>
          <w:t>91</w:t>
        </w:r>
        <w:r>
          <w:rPr>
            <w:rFonts w:ascii="Arial" w:hAnsi="Arial" w:cs="Arial"/>
            <w:noProof/>
            <w:sz w:val="20"/>
            <w:szCs w:val="20"/>
          </w:rPr>
          <w:fldChar w:fldCharType="end"/>
        </w:r>
      </w:p>
    </w:sdtContent>
  </w:sdt>
  <w:p>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C456B758"/>
    <w:lvl w:ilvl="0">
      <w:start w:val="1"/>
      <w:numFmt w:val="decimal"/>
      <w:lvlText w:val="%1."/>
      <w:lvlJc w:val="left"/>
      <w:pPr>
        <w:ind w:left="360" w:hanging="360"/>
      </w:pPr>
      <w:rPr>
        <w:rFonts w:hint="default"/>
        <w:b w:val="0"/>
        <w:bCs w:val="0"/>
        <w:i w:val="0"/>
        <w:color w:val="000000"/>
      </w:rPr>
    </w:lvl>
    <w:lvl w:ilvl="1">
      <w:start w:val="1"/>
      <w:numFmt w:val="decimal"/>
      <w:isLgl/>
      <w:lvlText w:val="%1.%2"/>
      <w:lvlJc w:val="left"/>
      <w:pPr>
        <w:ind w:left="360" w:hanging="360"/>
      </w:pPr>
      <w:rPr>
        <w:rFonts w:hint="default"/>
        <w:i w:val="0"/>
        <w:color w:val="00000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0696E54"/>
    <w:multiLevelType w:val="multilevel"/>
    <w:tmpl w:val="428C4864"/>
    <w:styleLink w:val="Style5"/>
    <w:lvl w:ilvl="0">
      <w:start w:val="1"/>
      <w:numFmt w:val="lowerLetter"/>
      <w:lvlText w:val="%1."/>
      <w:lvlJc w:val="left"/>
      <w:pPr>
        <w:ind w:left="1440" w:hanging="360"/>
      </w:pPr>
      <w:rPr>
        <w:rFonts w:ascii="Arial" w:hAnsi="Arial" w:cs="Arial" w:hint="default"/>
        <w:b/>
        <w:sz w:val="22"/>
        <w:szCs w:val="22"/>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 w15:restartNumberingAfterBreak="0">
    <w:nsid w:val="021A427F"/>
    <w:multiLevelType w:val="hybridMultilevel"/>
    <w:tmpl w:val="6568BFCA"/>
    <w:lvl w:ilvl="0" w:tplc="4E80F784">
      <w:start w:val="1"/>
      <w:numFmt w:val="lowerLetter"/>
      <w:lvlText w:val="%1."/>
      <w:lvlJc w:val="left"/>
      <w:pPr>
        <w:ind w:left="720" w:hanging="360"/>
      </w:pPr>
      <w:rPr>
        <w:rFonts w:hint="default"/>
        <w:b w:val="0"/>
        <w:bCs/>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 w15:restartNumberingAfterBreak="0">
    <w:nsid w:val="0AC97AB1"/>
    <w:multiLevelType w:val="hybridMultilevel"/>
    <w:tmpl w:val="4AC287E6"/>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 w15:restartNumberingAfterBreak="0">
    <w:nsid w:val="107F0A4E"/>
    <w:multiLevelType w:val="hybridMultilevel"/>
    <w:tmpl w:val="BC964AEA"/>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 w15:restartNumberingAfterBreak="0">
    <w:nsid w:val="125B6E1B"/>
    <w:multiLevelType w:val="hybridMultilevel"/>
    <w:tmpl w:val="0CDE134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A06A3A"/>
    <w:multiLevelType w:val="hybridMultilevel"/>
    <w:tmpl w:val="FBE4E80C"/>
    <w:lvl w:ilvl="0" w:tplc="A3FEF7F2">
      <w:start w:val="1"/>
      <w:numFmt w:val="lowerLetter"/>
      <w:lvlText w:val="%1."/>
      <w:lvlJc w:val="left"/>
      <w:pPr>
        <w:ind w:left="720" w:hanging="360"/>
      </w:pPr>
      <w:rPr>
        <w:rFonts w:hint="default"/>
        <w:b w:val="0"/>
        <w:bCs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 w15:restartNumberingAfterBreak="0">
    <w:nsid w:val="1EC92AAA"/>
    <w:multiLevelType w:val="hybridMultilevel"/>
    <w:tmpl w:val="4880A6D6"/>
    <w:lvl w:ilvl="0" w:tplc="C83ADACC">
      <w:start w:val="1"/>
      <w:numFmt w:val="lowerLetter"/>
      <w:lvlText w:val="%1."/>
      <w:lvlJc w:val="left"/>
      <w:pPr>
        <w:ind w:left="268" w:hanging="360"/>
      </w:pPr>
      <w:rPr>
        <w:rFonts w:hint="default"/>
      </w:rPr>
    </w:lvl>
    <w:lvl w:ilvl="1" w:tplc="34090019" w:tentative="1">
      <w:start w:val="1"/>
      <w:numFmt w:val="lowerLetter"/>
      <w:lvlText w:val="%2."/>
      <w:lvlJc w:val="left"/>
      <w:pPr>
        <w:ind w:left="988" w:hanging="360"/>
      </w:pPr>
    </w:lvl>
    <w:lvl w:ilvl="2" w:tplc="3409001B" w:tentative="1">
      <w:start w:val="1"/>
      <w:numFmt w:val="lowerRoman"/>
      <w:lvlText w:val="%3."/>
      <w:lvlJc w:val="right"/>
      <w:pPr>
        <w:ind w:left="1708" w:hanging="180"/>
      </w:pPr>
    </w:lvl>
    <w:lvl w:ilvl="3" w:tplc="3409000F" w:tentative="1">
      <w:start w:val="1"/>
      <w:numFmt w:val="decimal"/>
      <w:lvlText w:val="%4."/>
      <w:lvlJc w:val="left"/>
      <w:pPr>
        <w:ind w:left="2428" w:hanging="360"/>
      </w:pPr>
    </w:lvl>
    <w:lvl w:ilvl="4" w:tplc="34090019" w:tentative="1">
      <w:start w:val="1"/>
      <w:numFmt w:val="lowerLetter"/>
      <w:lvlText w:val="%5."/>
      <w:lvlJc w:val="left"/>
      <w:pPr>
        <w:ind w:left="3148" w:hanging="360"/>
      </w:pPr>
    </w:lvl>
    <w:lvl w:ilvl="5" w:tplc="3409001B" w:tentative="1">
      <w:start w:val="1"/>
      <w:numFmt w:val="lowerRoman"/>
      <w:lvlText w:val="%6."/>
      <w:lvlJc w:val="right"/>
      <w:pPr>
        <w:ind w:left="3868" w:hanging="180"/>
      </w:pPr>
    </w:lvl>
    <w:lvl w:ilvl="6" w:tplc="3409000F" w:tentative="1">
      <w:start w:val="1"/>
      <w:numFmt w:val="decimal"/>
      <w:lvlText w:val="%7."/>
      <w:lvlJc w:val="left"/>
      <w:pPr>
        <w:ind w:left="4588" w:hanging="360"/>
      </w:pPr>
    </w:lvl>
    <w:lvl w:ilvl="7" w:tplc="34090019" w:tentative="1">
      <w:start w:val="1"/>
      <w:numFmt w:val="lowerLetter"/>
      <w:lvlText w:val="%8."/>
      <w:lvlJc w:val="left"/>
      <w:pPr>
        <w:ind w:left="5308" w:hanging="360"/>
      </w:pPr>
    </w:lvl>
    <w:lvl w:ilvl="8" w:tplc="3409001B" w:tentative="1">
      <w:start w:val="1"/>
      <w:numFmt w:val="lowerRoman"/>
      <w:lvlText w:val="%9."/>
      <w:lvlJc w:val="right"/>
      <w:pPr>
        <w:ind w:left="6028" w:hanging="180"/>
      </w:pPr>
    </w:lvl>
  </w:abstractNum>
  <w:abstractNum w:abstractNumId="8" w15:restartNumberingAfterBreak="0">
    <w:nsid w:val="24DD7D2B"/>
    <w:multiLevelType w:val="hybridMultilevel"/>
    <w:tmpl w:val="6FD47636"/>
    <w:lvl w:ilvl="0" w:tplc="BD18F416">
      <w:start w:val="1"/>
      <w:numFmt w:val="lowerLetter"/>
      <w:lvlText w:val="%1."/>
      <w:lvlJc w:val="left"/>
      <w:pPr>
        <w:ind w:left="355" w:hanging="460"/>
      </w:pPr>
      <w:rPr>
        <w:rFonts w:hint="default"/>
      </w:rPr>
    </w:lvl>
    <w:lvl w:ilvl="1" w:tplc="34090019" w:tentative="1">
      <w:start w:val="1"/>
      <w:numFmt w:val="lowerLetter"/>
      <w:lvlText w:val="%2."/>
      <w:lvlJc w:val="left"/>
      <w:pPr>
        <w:ind w:left="975" w:hanging="360"/>
      </w:pPr>
    </w:lvl>
    <w:lvl w:ilvl="2" w:tplc="3409001B" w:tentative="1">
      <w:start w:val="1"/>
      <w:numFmt w:val="lowerRoman"/>
      <w:lvlText w:val="%3."/>
      <w:lvlJc w:val="right"/>
      <w:pPr>
        <w:ind w:left="1695" w:hanging="180"/>
      </w:pPr>
    </w:lvl>
    <w:lvl w:ilvl="3" w:tplc="3409000F" w:tentative="1">
      <w:start w:val="1"/>
      <w:numFmt w:val="decimal"/>
      <w:lvlText w:val="%4."/>
      <w:lvlJc w:val="left"/>
      <w:pPr>
        <w:ind w:left="2415" w:hanging="360"/>
      </w:pPr>
    </w:lvl>
    <w:lvl w:ilvl="4" w:tplc="34090019" w:tentative="1">
      <w:start w:val="1"/>
      <w:numFmt w:val="lowerLetter"/>
      <w:lvlText w:val="%5."/>
      <w:lvlJc w:val="left"/>
      <w:pPr>
        <w:ind w:left="3135" w:hanging="360"/>
      </w:pPr>
    </w:lvl>
    <w:lvl w:ilvl="5" w:tplc="3409001B" w:tentative="1">
      <w:start w:val="1"/>
      <w:numFmt w:val="lowerRoman"/>
      <w:lvlText w:val="%6."/>
      <w:lvlJc w:val="right"/>
      <w:pPr>
        <w:ind w:left="3855" w:hanging="180"/>
      </w:pPr>
    </w:lvl>
    <w:lvl w:ilvl="6" w:tplc="3409000F" w:tentative="1">
      <w:start w:val="1"/>
      <w:numFmt w:val="decimal"/>
      <w:lvlText w:val="%7."/>
      <w:lvlJc w:val="left"/>
      <w:pPr>
        <w:ind w:left="4575" w:hanging="360"/>
      </w:pPr>
    </w:lvl>
    <w:lvl w:ilvl="7" w:tplc="34090019" w:tentative="1">
      <w:start w:val="1"/>
      <w:numFmt w:val="lowerLetter"/>
      <w:lvlText w:val="%8."/>
      <w:lvlJc w:val="left"/>
      <w:pPr>
        <w:ind w:left="5295" w:hanging="360"/>
      </w:pPr>
    </w:lvl>
    <w:lvl w:ilvl="8" w:tplc="3409001B" w:tentative="1">
      <w:start w:val="1"/>
      <w:numFmt w:val="lowerRoman"/>
      <w:lvlText w:val="%9."/>
      <w:lvlJc w:val="right"/>
      <w:pPr>
        <w:ind w:left="6015" w:hanging="180"/>
      </w:pPr>
    </w:lvl>
  </w:abstractNum>
  <w:abstractNum w:abstractNumId="9" w15:restartNumberingAfterBreak="0">
    <w:nsid w:val="34183624"/>
    <w:multiLevelType w:val="hybridMultilevel"/>
    <w:tmpl w:val="6568BFCA"/>
    <w:lvl w:ilvl="0" w:tplc="4E80F784">
      <w:start w:val="1"/>
      <w:numFmt w:val="lowerLetter"/>
      <w:lvlText w:val="%1."/>
      <w:lvlJc w:val="left"/>
      <w:pPr>
        <w:ind w:left="720" w:hanging="360"/>
      </w:pPr>
      <w:rPr>
        <w:rFonts w:hint="default"/>
        <w:b w:val="0"/>
        <w:bCs/>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0" w15:restartNumberingAfterBreak="0">
    <w:nsid w:val="41785C37"/>
    <w:multiLevelType w:val="hybridMultilevel"/>
    <w:tmpl w:val="6568BFCA"/>
    <w:lvl w:ilvl="0" w:tplc="4E80F784">
      <w:start w:val="1"/>
      <w:numFmt w:val="lowerLetter"/>
      <w:lvlText w:val="%1."/>
      <w:lvlJc w:val="left"/>
      <w:pPr>
        <w:ind w:left="720" w:hanging="360"/>
      </w:pPr>
      <w:rPr>
        <w:rFonts w:hint="default"/>
        <w:b w:val="0"/>
        <w:bCs/>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1" w15:restartNumberingAfterBreak="0">
    <w:nsid w:val="4902031A"/>
    <w:multiLevelType w:val="hybridMultilevel"/>
    <w:tmpl w:val="BABC2E7C"/>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2" w15:restartNumberingAfterBreak="0">
    <w:nsid w:val="53EA6D2F"/>
    <w:multiLevelType w:val="hybridMultilevel"/>
    <w:tmpl w:val="EF2CF570"/>
    <w:lvl w:ilvl="0" w:tplc="7CD0D592">
      <w:start w:val="1"/>
      <w:numFmt w:val="lowerLetter"/>
      <w:lvlText w:val="%1."/>
      <w:lvlJc w:val="left"/>
      <w:pPr>
        <w:ind w:left="1080" w:hanging="360"/>
      </w:pPr>
      <w:rPr>
        <w:rFonts w:hint="default"/>
        <w:b w:val="0"/>
        <w:bCs/>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3" w15:restartNumberingAfterBreak="0">
    <w:nsid w:val="5D7D596F"/>
    <w:multiLevelType w:val="hybridMultilevel"/>
    <w:tmpl w:val="BD8EA2D6"/>
    <w:lvl w:ilvl="0" w:tplc="E7F8D63E">
      <w:start w:val="1"/>
      <w:numFmt w:val="lowerLetter"/>
      <w:lvlText w:val="%1."/>
      <w:lvlJc w:val="left"/>
      <w:pPr>
        <w:ind w:left="283" w:hanging="375"/>
      </w:pPr>
      <w:rPr>
        <w:rFonts w:hint="default"/>
      </w:rPr>
    </w:lvl>
    <w:lvl w:ilvl="1" w:tplc="04090019" w:tentative="1">
      <w:start w:val="1"/>
      <w:numFmt w:val="lowerLetter"/>
      <w:lvlText w:val="%2."/>
      <w:lvlJc w:val="left"/>
      <w:pPr>
        <w:ind w:left="988" w:hanging="360"/>
      </w:pPr>
    </w:lvl>
    <w:lvl w:ilvl="2" w:tplc="0409001B" w:tentative="1">
      <w:start w:val="1"/>
      <w:numFmt w:val="lowerRoman"/>
      <w:lvlText w:val="%3."/>
      <w:lvlJc w:val="right"/>
      <w:pPr>
        <w:ind w:left="1708" w:hanging="180"/>
      </w:pPr>
    </w:lvl>
    <w:lvl w:ilvl="3" w:tplc="0409000F" w:tentative="1">
      <w:start w:val="1"/>
      <w:numFmt w:val="decimal"/>
      <w:lvlText w:val="%4."/>
      <w:lvlJc w:val="left"/>
      <w:pPr>
        <w:ind w:left="2428" w:hanging="360"/>
      </w:pPr>
    </w:lvl>
    <w:lvl w:ilvl="4" w:tplc="04090019" w:tentative="1">
      <w:start w:val="1"/>
      <w:numFmt w:val="lowerLetter"/>
      <w:lvlText w:val="%5."/>
      <w:lvlJc w:val="left"/>
      <w:pPr>
        <w:ind w:left="3148" w:hanging="360"/>
      </w:pPr>
    </w:lvl>
    <w:lvl w:ilvl="5" w:tplc="0409001B" w:tentative="1">
      <w:start w:val="1"/>
      <w:numFmt w:val="lowerRoman"/>
      <w:lvlText w:val="%6."/>
      <w:lvlJc w:val="right"/>
      <w:pPr>
        <w:ind w:left="3868" w:hanging="180"/>
      </w:pPr>
    </w:lvl>
    <w:lvl w:ilvl="6" w:tplc="0409000F" w:tentative="1">
      <w:start w:val="1"/>
      <w:numFmt w:val="decimal"/>
      <w:lvlText w:val="%7."/>
      <w:lvlJc w:val="left"/>
      <w:pPr>
        <w:ind w:left="4588" w:hanging="360"/>
      </w:pPr>
    </w:lvl>
    <w:lvl w:ilvl="7" w:tplc="04090019" w:tentative="1">
      <w:start w:val="1"/>
      <w:numFmt w:val="lowerLetter"/>
      <w:lvlText w:val="%8."/>
      <w:lvlJc w:val="left"/>
      <w:pPr>
        <w:ind w:left="5308" w:hanging="360"/>
      </w:pPr>
    </w:lvl>
    <w:lvl w:ilvl="8" w:tplc="0409001B" w:tentative="1">
      <w:start w:val="1"/>
      <w:numFmt w:val="lowerRoman"/>
      <w:lvlText w:val="%9."/>
      <w:lvlJc w:val="right"/>
      <w:pPr>
        <w:ind w:left="6028" w:hanging="180"/>
      </w:pPr>
    </w:lvl>
  </w:abstractNum>
  <w:abstractNum w:abstractNumId="14" w15:restartNumberingAfterBreak="0">
    <w:nsid w:val="7162049B"/>
    <w:multiLevelType w:val="hybridMultilevel"/>
    <w:tmpl w:val="63D8BCA2"/>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5" w15:restartNumberingAfterBreak="0">
    <w:nsid w:val="72951C5B"/>
    <w:multiLevelType w:val="hybridMultilevel"/>
    <w:tmpl w:val="ABC091A8"/>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abstractNumId w:val="1"/>
  </w:num>
  <w:num w:numId="2">
    <w:abstractNumId w:val="9"/>
  </w:num>
  <w:num w:numId="3">
    <w:abstractNumId w:val="4"/>
  </w:num>
  <w:num w:numId="4">
    <w:abstractNumId w:val="0"/>
  </w:num>
  <w:num w:numId="5">
    <w:abstractNumId w:val="14"/>
  </w:num>
  <w:num w:numId="6">
    <w:abstractNumId w:val="6"/>
  </w:num>
  <w:num w:numId="7">
    <w:abstractNumId w:val="3"/>
  </w:num>
  <w:num w:numId="8">
    <w:abstractNumId w:val="15"/>
  </w:num>
  <w:num w:numId="9">
    <w:abstractNumId w:val="10"/>
  </w:num>
  <w:num w:numId="10">
    <w:abstractNumId w:val="2"/>
  </w:num>
  <w:num w:numId="11">
    <w:abstractNumId w:val="12"/>
  </w:num>
  <w:num w:numId="12">
    <w:abstractNumId w:val="5"/>
  </w:num>
  <w:num w:numId="13">
    <w:abstractNumId w:val="11"/>
  </w:num>
  <w:num w:numId="14">
    <w:abstractNumId w:val="7"/>
  </w:num>
  <w:num w:numId="15">
    <w:abstractNumId w:val="8"/>
  </w:num>
  <w:num w:numId="16">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forms" w:enforcement="1" w:cryptProviderType="rsaAES" w:cryptAlgorithmClass="hash" w:cryptAlgorithmType="typeAny" w:cryptAlgorithmSid="14" w:cryptSpinCount="100000" w:hash="swCTZqypXLVbFE2OieAB+OzGM9MFg5OzpcqiPLlSA6/TjMNzDc3H1gWzUSki9ymGZClcsYvtaaN3lqijQiurKg==" w:salt="gSWhqckIyGhklCYQi+AJzQ=="/>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4A5EB3BB-D924-4D87-B2BE-B8D5897E5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PH" w:eastAsia="en-PH" w:bidi="ar-SA"/>
      </w:rPr>
    </w:rPrDefault>
    <w:pPrDefault>
      <w:pPr>
        <w:spacing w:line="0" w:lineRule="atLeast"/>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aliases w:val="Resume Title,List Paragraph1"/>
    <w:basedOn w:val="Normal"/>
    <w:link w:val="ListParagraphChar"/>
    <w:uiPriority w:val="34"/>
    <w:qFormat/>
    <w:pPr>
      <w:ind w:left="720"/>
      <w:contextualSpacing/>
    </w:p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BalloonText">
    <w:name w:val="Balloon Text"/>
    <w:basedOn w:val="Normal"/>
    <w:link w:val="BalloonTextChar"/>
    <w:uiPriority w:val="99"/>
    <w:semiHidden/>
    <w:unhideWhenUsed/>
    <w:pPr>
      <w:spacing w:after="0" w:line="240" w:lineRule="auto"/>
    </w:pPr>
    <w:rPr>
      <w:rFonts w:ascii="Tahoma" w:hAnsi="Tahoma"/>
      <w:sz w:val="16"/>
      <w:szCs w:val="16"/>
    </w:rPr>
  </w:style>
  <w:style w:type="character" w:customStyle="1" w:styleId="BalloonTextChar">
    <w:name w:val="Balloon Text Char"/>
    <w:link w:val="BalloonText"/>
    <w:uiPriority w:val="99"/>
    <w:semiHidden/>
    <w:rPr>
      <w:rFonts w:ascii="Tahoma" w:hAnsi="Tahoma" w:cs="Tahoma"/>
      <w:sz w:val="16"/>
      <w:szCs w:val="16"/>
      <w:lang w:val="en-US" w:eastAsia="en-US"/>
    </w:rPr>
  </w:style>
  <w:style w:type="paragraph" w:styleId="NoSpacing">
    <w:name w:val="No Spacing"/>
    <w:link w:val="NoSpacingChar"/>
    <w:uiPriority w:val="1"/>
    <w:qFormat/>
    <w:rPr>
      <w:sz w:val="22"/>
      <w:szCs w:val="22"/>
      <w:lang w:val="en-US" w:eastAsia="en-US"/>
    </w:rPr>
  </w:style>
  <w:style w:type="numbering" w:customStyle="1" w:styleId="Style5">
    <w:name w:val="Style5"/>
    <w:uiPriority w:val="99"/>
    <w:pPr>
      <w:numPr>
        <w:numId w:val="1"/>
      </w:numPr>
    </w:pPr>
  </w:style>
  <w:style w:type="character" w:customStyle="1" w:styleId="ListParagraphChar">
    <w:name w:val="List Paragraph Char"/>
    <w:aliases w:val="Resume Title Char,List Paragraph1 Char"/>
    <w:link w:val="ListParagraph"/>
    <w:uiPriority w:val="34"/>
    <w:locked/>
    <w:rPr>
      <w:sz w:val="22"/>
      <w:szCs w:val="22"/>
      <w:lang w:val="en-US" w:eastAsia="en-US"/>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lang w:val="en-US" w:eastAsia="en-US"/>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lang w:val="en-US" w:eastAsia="en-US"/>
    </w:rPr>
  </w:style>
  <w:style w:type="character" w:customStyle="1" w:styleId="NoSpacingChar">
    <w:name w:val="No Spacing Char"/>
    <w:link w:val="NoSpacing"/>
    <w:uiPriority w:val="1"/>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473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512AD7-14F3-4E83-AD58-92A429E69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14</Pages>
  <Words>4347</Words>
  <Characters>24784</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Status of Implementation of Prior Years' Audit Recommendations</vt:lpstr>
    </vt:vector>
  </TitlesOfParts>
  <Company/>
  <LinksUpToDate>false</LinksUpToDate>
  <CharactersWithSpaces>29073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Status of Implementation of Prior Years' Audit Recommendations</dc:title>
  <dc:creator>COA-National Tobacco Administration</dc:creator>
  <cp:lastModifiedBy>Ben A. Lazo, Jr.</cp:lastModifiedBy>
  <cp:revision>43</cp:revision>
  <cp:lastPrinted>2021-08-03T11:17:00Z</cp:lastPrinted>
  <dcterms:created xsi:type="dcterms:W3CDTF">2021-08-03T10:30:00Z</dcterms:created>
  <dcterms:modified xsi:type="dcterms:W3CDTF">2021-08-11T02:04:00Z</dcterms:modified>
</cp:coreProperties>
</file>