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578" w:rsidRDefault="008C3363" w:rsidP="008C3363">
      <w:pPr>
        <w:jc w:val="center"/>
        <w:rPr>
          <w:b/>
          <w:color w:val="auto"/>
          <w:sz w:val="23"/>
          <w:szCs w:val="23"/>
        </w:rPr>
      </w:pPr>
      <w:bookmarkStart w:id="0" w:name="_GoBack"/>
      <w:bookmarkEnd w:id="0"/>
      <w:r w:rsidRPr="008C3363">
        <w:rPr>
          <w:b/>
          <w:color w:val="auto"/>
          <w:sz w:val="23"/>
          <w:szCs w:val="23"/>
        </w:rPr>
        <w:t>EXECUTIVE SUMMARY</w:t>
      </w:r>
    </w:p>
    <w:p w:rsidR="008C3363" w:rsidRDefault="008C3363" w:rsidP="008C3363">
      <w:pPr>
        <w:jc w:val="both"/>
        <w:rPr>
          <w:b/>
          <w:color w:val="auto"/>
          <w:sz w:val="23"/>
          <w:szCs w:val="23"/>
        </w:rPr>
      </w:pPr>
    </w:p>
    <w:p w:rsidR="008C3363" w:rsidRPr="00427E2B" w:rsidRDefault="008C3363" w:rsidP="008C3363">
      <w:pPr>
        <w:jc w:val="both"/>
        <w:rPr>
          <w:b/>
          <w:color w:val="auto"/>
        </w:rPr>
      </w:pPr>
      <w:r w:rsidRPr="00427E2B">
        <w:rPr>
          <w:b/>
          <w:color w:val="auto"/>
        </w:rPr>
        <w:t>INTRODUCTION</w:t>
      </w:r>
    </w:p>
    <w:p w:rsidR="008C3363" w:rsidRDefault="008C3363" w:rsidP="008C3363">
      <w:pPr>
        <w:spacing w:after="0" w:line="240" w:lineRule="auto"/>
        <w:jc w:val="both"/>
        <w:rPr>
          <w:color w:val="auto"/>
        </w:rPr>
      </w:pPr>
      <w:r w:rsidRPr="008C3363">
        <w:rPr>
          <w:rFonts w:eastAsia="Calibri"/>
          <w:color w:val="auto"/>
        </w:rPr>
        <w:t xml:space="preserve">The National Tobacco Administration (NTA) </w:t>
      </w:r>
      <w:r>
        <w:rPr>
          <w:color w:val="auto"/>
        </w:rPr>
        <w:t xml:space="preserve">with business address at Scout Reyes corner Panay Avenue, Quezon City </w:t>
      </w:r>
      <w:r w:rsidRPr="008C3363">
        <w:rPr>
          <w:rFonts w:eastAsia="Calibri"/>
          <w:color w:val="auto"/>
        </w:rPr>
        <w:t>is a</w:t>
      </w:r>
      <w:r>
        <w:rPr>
          <w:color w:val="auto"/>
        </w:rPr>
        <w:t xml:space="preserve">n attached agency of the Department of Agriculture (DA). </w:t>
      </w:r>
      <w:r w:rsidRPr="008C3363">
        <w:rPr>
          <w:rFonts w:eastAsia="Calibri"/>
          <w:color w:val="auto"/>
        </w:rPr>
        <w:t xml:space="preserve"> </w:t>
      </w:r>
      <w:r>
        <w:rPr>
          <w:color w:val="auto"/>
        </w:rPr>
        <w:t xml:space="preserve">It is </w:t>
      </w:r>
      <w:r w:rsidRPr="008C3363">
        <w:rPr>
          <w:rFonts w:eastAsia="Calibri"/>
          <w:color w:val="auto"/>
        </w:rPr>
        <w:t>created under Executive Order (EO) No. 116 dated January 30, 1987, which was implemented by EO No. 245 dated July 24, 1987.  Under EO No. 245, seven tobacco agencies were merged to the NTA. The Administration is mandated to: (a) improve the economic and living conditions and raise the quality of life of the tobacco farmers including those who depend upon the industry for their livelihood; and (b) promote the balanced and integrated growth and development of the industry and help make agriculture a solid base for massive industrialization. NTA also administers and regulates the tobacco industry of the Philippines.</w:t>
      </w:r>
    </w:p>
    <w:p w:rsidR="008C3363" w:rsidRDefault="008C3363" w:rsidP="008C3363">
      <w:pPr>
        <w:spacing w:after="0" w:line="240" w:lineRule="auto"/>
        <w:jc w:val="both"/>
        <w:rPr>
          <w:color w:val="auto"/>
        </w:rPr>
      </w:pPr>
    </w:p>
    <w:p w:rsidR="008E588A" w:rsidRDefault="008E588A" w:rsidP="008C3363">
      <w:pPr>
        <w:spacing w:after="0" w:line="240" w:lineRule="auto"/>
        <w:jc w:val="both"/>
        <w:rPr>
          <w:color w:val="auto"/>
        </w:rPr>
      </w:pPr>
    </w:p>
    <w:p w:rsidR="008C3363" w:rsidRDefault="008C3363" w:rsidP="008C3363">
      <w:pPr>
        <w:spacing w:after="0" w:line="240" w:lineRule="auto"/>
        <w:jc w:val="both"/>
        <w:rPr>
          <w:b/>
          <w:color w:val="auto"/>
        </w:rPr>
      </w:pPr>
      <w:r>
        <w:rPr>
          <w:b/>
          <w:color w:val="auto"/>
        </w:rPr>
        <w:t>FINANCIAL HI</w:t>
      </w:r>
      <w:r w:rsidRPr="008C3363">
        <w:rPr>
          <w:b/>
          <w:color w:val="auto"/>
        </w:rPr>
        <w:t>GHLIGHTS</w:t>
      </w:r>
      <w:r>
        <w:rPr>
          <w:b/>
          <w:color w:val="auto"/>
        </w:rPr>
        <w:t xml:space="preserve"> (In </w:t>
      </w:r>
      <w:r w:rsidR="008E588A">
        <w:rPr>
          <w:b/>
          <w:color w:val="auto"/>
        </w:rPr>
        <w:t>Million P</w:t>
      </w:r>
      <w:r>
        <w:rPr>
          <w:b/>
          <w:color w:val="auto"/>
        </w:rPr>
        <w:t>esos)</w:t>
      </w:r>
    </w:p>
    <w:p w:rsidR="00BA5AF0" w:rsidRDefault="00BA5AF0" w:rsidP="008C3363">
      <w:pPr>
        <w:spacing w:after="0" w:line="240" w:lineRule="auto"/>
        <w:jc w:val="both"/>
        <w:rPr>
          <w:b/>
          <w:color w:val="auto"/>
        </w:rPr>
      </w:pPr>
    </w:p>
    <w:p w:rsidR="00BA5AF0" w:rsidRDefault="00BA5AF0" w:rsidP="008E588A">
      <w:pPr>
        <w:tabs>
          <w:tab w:val="left" w:pos="540"/>
        </w:tabs>
        <w:spacing w:after="0" w:line="240" w:lineRule="auto"/>
        <w:jc w:val="both"/>
        <w:rPr>
          <w:b/>
          <w:color w:val="auto"/>
        </w:rPr>
      </w:pPr>
      <w:r>
        <w:rPr>
          <w:b/>
          <w:color w:val="auto"/>
        </w:rPr>
        <w:t xml:space="preserve">I. </w:t>
      </w:r>
      <w:r w:rsidR="002D1FE5">
        <w:rPr>
          <w:b/>
          <w:color w:val="auto"/>
        </w:rPr>
        <w:tab/>
      </w:r>
      <w:r>
        <w:rPr>
          <w:b/>
          <w:color w:val="auto"/>
        </w:rPr>
        <w:t>Comparative Financial Position</w:t>
      </w:r>
    </w:p>
    <w:p w:rsidR="00BA5AF0" w:rsidRPr="008C3363" w:rsidRDefault="00BA5AF0" w:rsidP="008C3363">
      <w:pPr>
        <w:spacing w:after="0" w:line="240" w:lineRule="auto"/>
        <w:jc w:val="both"/>
        <w:rPr>
          <w:rFonts w:eastAsia="Calibri"/>
          <w:b/>
          <w:color w:val="aut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440"/>
        <w:gridCol w:w="1170"/>
        <w:gridCol w:w="1350"/>
      </w:tblGrid>
      <w:tr w:rsidR="002D1FE5" w:rsidTr="002D1FE5">
        <w:tc>
          <w:tcPr>
            <w:tcW w:w="4680" w:type="dxa"/>
            <w:tcBorders>
              <w:top w:val="single" w:sz="4" w:space="0" w:color="auto"/>
              <w:bottom w:val="single" w:sz="4" w:space="0" w:color="auto"/>
            </w:tcBorders>
          </w:tcPr>
          <w:p w:rsidR="008C3363" w:rsidRPr="008E588A" w:rsidRDefault="008C3363" w:rsidP="008C3363">
            <w:pPr>
              <w:jc w:val="both"/>
              <w:rPr>
                <w:b/>
                <w:color w:val="auto"/>
                <w:sz w:val="20"/>
                <w:szCs w:val="20"/>
              </w:rPr>
            </w:pPr>
          </w:p>
        </w:tc>
        <w:tc>
          <w:tcPr>
            <w:tcW w:w="1440" w:type="dxa"/>
            <w:tcBorders>
              <w:top w:val="single" w:sz="4" w:space="0" w:color="auto"/>
              <w:bottom w:val="single" w:sz="4" w:space="0" w:color="auto"/>
            </w:tcBorders>
            <w:vAlign w:val="bottom"/>
          </w:tcPr>
          <w:p w:rsidR="008C3363" w:rsidRPr="008E588A" w:rsidRDefault="00BA5AF0" w:rsidP="00BA5AF0">
            <w:pPr>
              <w:jc w:val="right"/>
              <w:rPr>
                <w:b/>
                <w:color w:val="auto"/>
                <w:sz w:val="20"/>
                <w:szCs w:val="20"/>
              </w:rPr>
            </w:pPr>
            <w:r w:rsidRPr="008E588A">
              <w:rPr>
                <w:b/>
                <w:color w:val="auto"/>
                <w:sz w:val="20"/>
                <w:szCs w:val="20"/>
              </w:rPr>
              <w:t>2014</w:t>
            </w:r>
          </w:p>
        </w:tc>
        <w:tc>
          <w:tcPr>
            <w:tcW w:w="1170" w:type="dxa"/>
            <w:tcBorders>
              <w:top w:val="single" w:sz="4" w:space="0" w:color="auto"/>
              <w:bottom w:val="single" w:sz="4" w:space="0" w:color="auto"/>
            </w:tcBorders>
            <w:vAlign w:val="bottom"/>
          </w:tcPr>
          <w:p w:rsidR="008C3363" w:rsidRPr="008E588A" w:rsidRDefault="008C3363" w:rsidP="00BA5AF0">
            <w:pPr>
              <w:jc w:val="right"/>
              <w:rPr>
                <w:b/>
                <w:color w:val="auto"/>
                <w:sz w:val="20"/>
                <w:szCs w:val="20"/>
              </w:rPr>
            </w:pPr>
            <w:r w:rsidRPr="008E588A">
              <w:rPr>
                <w:b/>
                <w:color w:val="auto"/>
                <w:sz w:val="20"/>
                <w:szCs w:val="20"/>
              </w:rPr>
              <w:t>201</w:t>
            </w:r>
            <w:r w:rsidR="00BA5AF0" w:rsidRPr="008E588A">
              <w:rPr>
                <w:b/>
                <w:color w:val="auto"/>
                <w:sz w:val="20"/>
                <w:szCs w:val="20"/>
              </w:rPr>
              <w:t>3</w:t>
            </w:r>
          </w:p>
        </w:tc>
        <w:tc>
          <w:tcPr>
            <w:tcW w:w="1350" w:type="dxa"/>
            <w:tcBorders>
              <w:top w:val="single" w:sz="4" w:space="0" w:color="auto"/>
              <w:bottom w:val="single" w:sz="4" w:space="0" w:color="auto"/>
            </w:tcBorders>
            <w:vAlign w:val="bottom"/>
          </w:tcPr>
          <w:p w:rsidR="00BA5AF0" w:rsidRPr="008E588A" w:rsidRDefault="008C3363" w:rsidP="00BA5AF0">
            <w:pPr>
              <w:ind w:right="-108"/>
              <w:jc w:val="right"/>
              <w:rPr>
                <w:b/>
                <w:color w:val="auto"/>
                <w:sz w:val="20"/>
                <w:szCs w:val="20"/>
              </w:rPr>
            </w:pPr>
            <w:r w:rsidRPr="008E588A">
              <w:rPr>
                <w:b/>
                <w:color w:val="auto"/>
                <w:sz w:val="20"/>
                <w:szCs w:val="20"/>
              </w:rPr>
              <w:t>Increase</w:t>
            </w:r>
          </w:p>
          <w:p w:rsidR="008C3363" w:rsidRPr="008E588A" w:rsidRDefault="008C3363" w:rsidP="00BA5AF0">
            <w:pPr>
              <w:ind w:right="-108"/>
              <w:jc w:val="right"/>
              <w:rPr>
                <w:b/>
                <w:color w:val="auto"/>
                <w:sz w:val="20"/>
                <w:szCs w:val="20"/>
              </w:rPr>
            </w:pPr>
            <w:r w:rsidRPr="008E588A">
              <w:rPr>
                <w:b/>
                <w:color w:val="auto"/>
                <w:sz w:val="20"/>
                <w:szCs w:val="20"/>
              </w:rPr>
              <w:t>(Decrease)</w:t>
            </w:r>
          </w:p>
        </w:tc>
      </w:tr>
      <w:tr w:rsidR="008C3363" w:rsidTr="002D1FE5">
        <w:tc>
          <w:tcPr>
            <w:tcW w:w="4680" w:type="dxa"/>
            <w:tcBorders>
              <w:top w:val="single" w:sz="4" w:space="0" w:color="auto"/>
            </w:tcBorders>
            <w:vAlign w:val="bottom"/>
          </w:tcPr>
          <w:p w:rsidR="008C3363" w:rsidRPr="008E588A" w:rsidRDefault="008C3363" w:rsidP="00BA5AF0">
            <w:pPr>
              <w:ind w:left="-108"/>
              <w:rPr>
                <w:color w:val="auto"/>
                <w:sz w:val="20"/>
                <w:szCs w:val="20"/>
              </w:rPr>
            </w:pPr>
            <w:r w:rsidRPr="008E588A">
              <w:rPr>
                <w:color w:val="auto"/>
                <w:sz w:val="20"/>
                <w:szCs w:val="20"/>
              </w:rPr>
              <w:t>Total assets</w:t>
            </w:r>
          </w:p>
        </w:tc>
        <w:tc>
          <w:tcPr>
            <w:tcW w:w="1440" w:type="dxa"/>
            <w:tcBorders>
              <w:top w:val="single" w:sz="4" w:space="0" w:color="auto"/>
            </w:tcBorders>
            <w:vAlign w:val="bottom"/>
          </w:tcPr>
          <w:p w:rsidR="008C3363" w:rsidRPr="008E588A" w:rsidRDefault="00BA5AF0" w:rsidP="00BA5AF0">
            <w:pPr>
              <w:jc w:val="right"/>
              <w:rPr>
                <w:color w:val="auto"/>
                <w:sz w:val="20"/>
                <w:szCs w:val="20"/>
              </w:rPr>
            </w:pPr>
            <w:r w:rsidRPr="008E588A">
              <w:rPr>
                <w:color w:val="auto"/>
                <w:sz w:val="20"/>
                <w:szCs w:val="20"/>
              </w:rPr>
              <w:t>1,588.357</w:t>
            </w:r>
          </w:p>
        </w:tc>
        <w:tc>
          <w:tcPr>
            <w:tcW w:w="1170" w:type="dxa"/>
            <w:tcBorders>
              <w:top w:val="single" w:sz="4" w:space="0" w:color="auto"/>
            </w:tcBorders>
            <w:vAlign w:val="bottom"/>
          </w:tcPr>
          <w:p w:rsidR="008C3363" w:rsidRPr="008E588A" w:rsidRDefault="00BA5AF0" w:rsidP="00BA5AF0">
            <w:pPr>
              <w:jc w:val="right"/>
              <w:rPr>
                <w:color w:val="auto"/>
                <w:sz w:val="20"/>
                <w:szCs w:val="20"/>
              </w:rPr>
            </w:pPr>
            <w:r w:rsidRPr="008E588A">
              <w:rPr>
                <w:color w:val="auto"/>
                <w:sz w:val="20"/>
                <w:szCs w:val="20"/>
              </w:rPr>
              <w:t>1,208.866</w:t>
            </w:r>
          </w:p>
        </w:tc>
        <w:tc>
          <w:tcPr>
            <w:tcW w:w="1350" w:type="dxa"/>
            <w:tcBorders>
              <w:top w:val="single" w:sz="4" w:space="0" w:color="auto"/>
            </w:tcBorders>
            <w:vAlign w:val="bottom"/>
          </w:tcPr>
          <w:p w:rsidR="008C3363" w:rsidRPr="008E588A" w:rsidRDefault="00BA5AF0" w:rsidP="00BA5AF0">
            <w:pPr>
              <w:ind w:right="-108"/>
              <w:jc w:val="right"/>
              <w:rPr>
                <w:color w:val="auto"/>
                <w:sz w:val="20"/>
                <w:szCs w:val="20"/>
              </w:rPr>
            </w:pPr>
            <w:r w:rsidRPr="008E588A">
              <w:rPr>
                <w:color w:val="auto"/>
                <w:sz w:val="20"/>
                <w:szCs w:val="20"/>
              </w:rPr>
              <w:t>379.491</w:t>
            </w:r>
          </w:p>
        </w:tc>
      </w:tr>
      <w:tr w:rsidR="008C3363" w:rsidTr="002D1FE5">
        <w:tc>
          <w:tcPr>
            <w:tcW w:w="4680" w:type="dxa"/>
            <w:vAlign w:val="bottom"/>
          </w:tcPr>
          <w:p w:rsidR="008C3363" w:rsidRPr="008E588A" w:rsidRDefault="008C3363" w:rsidP="00BA5AF0">
            <w:pPr>
              <w:ind w:left="-108"/>
              <w:rPr>
                <w:color w:val="auto"/>
                <w:sz w:val="20"/>
                <w:szCs w:val="20"/>
              </w:rPr>
            </w:pPr>
            <w:r w:rsidRPr="008E588A">
              <w:rPr>
                <w:color w:val="auto"/>
                <w:sz w:val="20"/>
                <w:szCs w:val="20"/>
              </w:rPr>
              <w:t>Total liabilities</w:t>
            </w:r>
          </w:p>
        </w:tc>
        <w:tc>
          <w:tcPr>
            <w:tcW w:w="1440" w:type="dxa"/>
            <w:vAlign w:val="bottom"/>
          </w:tcPr>
          <w:p w:rsidR="008C3363" w:rsidRPr="008E588A" w:rsidRDefault="00BA5AF0" w:rsidP="00BA5AF0">
            <w:pPr>
              <w:jc w:val="right"/>
              <w:rPr>
                <w:color w:val="auto"/>
                <w:sz w:val="20"/>
                <w:szCs w:val="20"/>
              </w:rPr>
            </w:pPr>
            <w:r w:rsidRPr="008E588A">
              <w:rPr>
                <w:color w:val="auto"/>
                <w:sz w:val="20"/>
                <w:szCs w:val="20"/>
              </w:rPr>
              <w:t>127.193</w:t>
            </w:r>
          </w:p>
        </w:tc>
        <w:tc>
          <w:tcPr>
            <w:tcW w:w="1170" w:type="dxa"/>
            <w:vAlign w:val="bottom"/>
          </w:tcPr>
          <w:p w:rsidR="008C3363" w:rsidRPr="008E588A" w:rsidRDefault="00BA5AF0" w:rsidP="00BA5AF0">
            <w:pPr>
              <w:jc w:val="right"/>
              <w:rPr>
                <w:color w:val="auto"/>
                <w:sz w:val="20"/>
                <w:szCs w:val="20"/>
              </w:rPr>
            </w:pPr>
            <w:r w:rsidRPr="008E588A">
              <w:rPr>
                <w:color w:val="auto"/>
                <w:sz w:val="20"/>
                <w:szCs w:val="20"/>
              </w:rPr>
              <w:t>121.102</w:t>
            </w:r>
          </w:p>
        </w:tc>
        <w:tc>
          <w:tcPr>
            <w:tcW w:w="1350" w:type="dxa"/>
            <w:vAlign w:val="bottom"/>
          </w:tcPr>
          <w:p w:rsidR="008C3363" w:rsidRPr="008E588A" w:rsidRDefault="00BA5AF0" w:rsidP="00BA5AF0">
            <w:pPr>
              <w:ind w:right="-108"/>
              <w:jc w:val="right"/>
              <w:rPr>
                <w:color w:val="auto"/>
                <w:sz w:val="20"/>
                <w:szCs w:val="20"/>
              </w:rPr>
            </w:pPr>
            <w:r w:rsidRPr="008E588A">
              <w:rPr>
                <w:color w:val="auto"/>
                <w:sz w:val="20"/>
                <w:szCs w:val="20"/>
              </w:rPr>
              <w:t>6.091</w:t>
            </w:r>
          </w:p>
        </w:tc>
      </w:tr>
      <w:tr w:rsidR="008C3363" w:rsidTr="002D1FE5">
        <w:tc>
          <w:tcPr>
            <w:tcW w:w="4680" w:type="dxa"/>
            <w:tcBorders>
              <w:bottom w:val="double" w:sz="4" w:space="0" w:color="auto"/>
            </w:tcBorders>
            <w:vAlign w:val="bottom"/>
          </w:tcPr>
          <w:p w:rsidR="008C3363" w:rsidRPr="008E588A" w:rsidRDefault="008C3363" w:rsidP="00BA5AF0">
            <w:pPr>
              <w:ind w:left="-108"/>
              <w:rPr>
                <w:color w:val="auto"/>
                <w:sz w:val="20"/>
                <w:szCs w:val="20"/>
              </w:rPr>
            </w:pPr>
            <w:r w:rsidRPr="008E588A">
              <w:rPr>
                <w:color w:val="auto"/>
                <w:sz w:val="20"/>
                <w:szCs w:val="20"/>
              </w:rPr>
              <w:t>Net</w:t>
            </w:r>
            <w:r w:rsidR="00BA5AF0" w:rsidRPr="008E588A">
              <w:rPr>
                <w:color w:val="auto"/>
                <w:sz w:val="20"/>
                <w:szCs w:val="20"/>
              </w:rPr>
              <w:t xml:space="preserve"> </w:t>
            </w:r>
            <w:r w:rsidRPr="008E588A">
              <w:rPr>
                <w:color w:val="auto"/>
                <w:sz w:val="20"/>
                <w:szCs w:val="20"/>
              </w:rPr>
              <w:t>worth</w:t>
            </w:r>
          </w:p>
        </w:tc>
        <w:tc>
          <w:tcPr>
            <w:tcW w:w="1440" w:type="dxa"/>
            <w:tcBorders>
              <w:bottom w:val="double" w:sz="4" w:space="0" w:color="auto"/>
            </w:tcBorders>
            <w:vAlign w:val="bottom"/>
          </w:tcPr>
          <w:p w:rsidR="008C3363" w:rsidRPr="008E588A" w:rsidRDefault="00BA5AF0" w:rsidP="00BA5AF0">
            <w:pPr>
              <w:jc w:val="right"/>
              <w:rPr>
                <w:color w:val="auto"/>
                <w:sz w:val="20"/>
                <w:szCs w:val="20"/>
              </w:rPr>
            </w:pPr>
            <w:r w:rsidRPr="008E588A">
              <w:rPr>
                <w:color w:val="auto"/>
                <w:sz w:val="20"/>
                <w:szCs w:val="20"/>
              </w:rPr>
              <w:t>1,461.164</w:t>
            </w:r>
          </w:p>
        </w:tc>
        <w:tc>
          <w:tcPr>
            <w:tcW w:w="1170" w:type="dxa"/>
            <w:tcBorders>
              <w:bottom w:val="double" w:sz="4" w:space="0" w:color="auto"/>
            </w:tcBorders>
            <w:vAlign w:val="bottom"/>
          </w:tcPr>
          <w:p w:rsidR="008C3363" w:rsidRPr="008E588A" w:rsidRDefault="00BA5AF0" w:rsidP="00BA5AF0">
            <w:pPr>
              <w:jc w:val="right"/>
              <w:rPr>
                <w:color w:val="auto"/>
                <w:sz w:val="20"/>
                <w:szCs w:val="20"/>
              </w:rPr>
            </w:pPr>
            <w:r w:rsidRPr="008E588A">
              <w:rPr>
                <w:color w:val="auto"/>
                <w:sz w:val="20"/>
                <w:szCs w:val="20"/>
              </w:rPr>
              <w:t>1,087.764</w:t>
            </w:r>
          </w:p>
        </w:tc>
        <w:tc>
          <w:tcPr>
            <w:tcW w:w="1350" w:type="dxa"/>
            <w:tcBorders>
              <w:bottom w:val="double" w:sz="4" w:space="0" w:color="auto"/>
            </w:tcBorders>
            <w:vAlign w:val="bottom"/>
          </w:tcPr>
          <w:p w:rsidR="008C3363" w:rsidRPr="008E588A" w:rsidRDefault="00BA5AF0" w:rsidP="00BA5AF0">
            <w:pPr>
              <w:ind w:right="-108"/>
              <w:jc w:val="right"/>
              <w:rPr>
                <w:color w:val="auto"/>
                <w:sz w:val="20"/>
                <w:szCs w:val="20"/>
              </w:rPr>
            </w:pPr>
            <w:r w:rsidRPr="008E588A">
              <w:rPr>
                <w:color w:val="auto"/>
                <w:sz w:val="20"/>
                <w:szCs w:val="20"/>
              </w:rPr>
              <w:t>373.400</w:t>
            </w:r>
          </w:p>
        </w:tc>
      </w:tr>
    </w:tbl>
    <w:p w:rsidR="008C3363" w:rsidRDefault="008C3363" w:rsidP="008C3363">
      <w:pPr>
        <w:jc w:val="both"/>
        <w:rPr>
          <w:b/>
          <w:color w:val="auto"/>
          <w:sz w:val="23"/>
          <w:szCs w:val="23"/>
        </w:rPr>
      </w:pPr>
    </w:p>
    <w:p w:rsidR="00BA5AF0" w:rsidRDefault="00BA5AF0" w:rsidP="008E588A">
      <w:pPr>
        <w:tabs>
          <w:tab w:val="left" w:pos="540"/>
        </w:tabs>
        <w:jc w:val="both"/>
        <w:rPr>
          <w:b/>
          <w:color w:val="auto"/>
          <w:sz w:val="23"/>
          <w:szCs w:val="23"/>
        </w:rPr>
      </w:pPr>
      <w:r>
        <w:rPr>
          <w:b/>
          <w:color w:val="auto"/>
          <w:sz w:val="23"/>
          <w:szCs w:val="23"/>
        </w:rPr>
        <w:t xml:space="preserve">II. </w:t>
      </w:r>
      <w:r w:rsidR="002D1FE5" w:rsidRPr="00427E2B">
        <w:rPr>
          <w:b/>
          <w:color w:val="auto"/>
        </w:rPr>
        <w:tab/>
      </w:r>
      <w:r w:rsidRPr="00427E2B">
        <w:rPr>
          <w:b/>
          <w:color w:val="auto"/>
        </w:rPr>
        <w:t>Comparative Results of Operations</w:t>
      </w:r>
    </w:p>
    <w:tbl>
      <w:tblPr>
        <w:tblStyle w:val="TableGrid"/>
        <w:tblW w:w="85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440"/>
        <w:gridCol w:w="1080"/>
        <w:gridCol w:w="1350"/>
      </w:tblGrid>
      <w:tr w:rsidR="00BA5AF0" w:rsidRPr="00BA5AF0" w:rsidTr="001262E8">
        <w:tc>
          <w:tcPr>
            <w:tcW w:w="4680" w:type="dxa"/>
            <w:tcBorders>
              <w:top w:val="single" w:sz="4" w:space="0" w:color="auto"/>
              <w:bottom w:val="single" w:sz="4" w:space="0" w:color="auto"/>
            </w:tcBorders>
          </w:tcPr>
          <w:p w:rsidR="00BA5AF0" w:rsidRPr="008E588A" w:rsidRDefault="00BA5AF0" w:rsidP="00617C83">
            <w:pPr>
              <w:jc w:val="both"/>
              <w:rPr>
                <w:b/>
                <w:color w:val="auto"/>
                <w:sz w:val="20"/>
                <w:szCs w:val="20"/>
              </w:rPr>
            </w:pPr>
          </w:p>
        </w:tc>
        <w:tc>
          <w:tcPr>
            <w:tcW w:w="1440" w:type="dxa"/>
            <w:tcBorders>
              <w:top w:val="single" w:sz="4" w:space="0" w:color="auto"/>
              <w:bottom w:val="single" w:sz="4" w:space="0" w:color="auto"/>
            </w:tcBorders>
            <w:vAlign w:val="bottom"/>
          </w:tcPr>
          <w:p w:rsidR="00BA5AF0" w:rsidRPr="008E588A" w:rsidRDefault="00BA5AF0" w:rsidP="001262E8">
            <w:pPr>
              <w:tabs>
                <w:tab w:val="left" w:pos="1242"/>
              </w:tabs>
              <w:ind w:right="-18"/>
              <w:jc w:val="right"/>
              <w:rPr>
                <w:b/>
                <w:color w:val="auto"/>
                <w:sz w:val="20"/>
                <w:szCs w:val="20"/>
              </w:rPr>
            </w:pPr>
            <w:r w:rsidRPr="008E588A">
              <w:rPr>
                <w:b/>
                <w:color w:val="auto"/>
                <w:sz w:val="20"/>
                <w:szCs w:val="20"/>
              </w:rPr>
              <w:t>2014</w:t>
            </w:r>
          </w:p>
        </w:tc>
        <w:tc>
          <w:tcPr>
            <w:tcW w:w="1080" w:type="dxa"/>
            <w:tcBorders>
              <w:top w:val="single" w:sz="4" w:space="0" w:color="auto"/>
              <w:bottom w:val="single" w:sz="4" w:space="0" w:color="auto"/>
            </w:tcBorders>
            <w:vAlign w:val="bottom"/>
          </w:tcPr>
          <w:p w:rsidR="00BA5AF0" w:rsidRPr="008E588A" w:rsidRDefault="00BA5AF0" w:rsidP="001262E8">
            <w:pPr>
              <w:tabs>
                <w:tab w:val="left" w:pos="1041"/>
              </w:tabs>
              <w:ind w:right="-108"/>
              <w:jc w:val="right"/>
              <w:rPr>
                <w:b/>
                <w:color w:val="auto"/>
                <w:sz w:val="20"/>
                <w:szCs w:val="20"/>
              </w:rPr>
            </w:pPr>
            <w:r w:rsidRPr="008E588A">
              <w:rPr>
                <w:b/>
                <w:color w:val="auto"/>
                <w:sz w:val="20"/>
                <w:szCs w:val="20"/>
              </w:rPr>
              <w:t>2013</w:t>
            </w:r>
          </w:p>
        </w:tc>
        <w:tc>
          <w:tcPr>
            <w:tcW w:w="1350" w:type="dxa"/>
            <w:tcBorders>
              <w:top w:val="single" w:sz="4" w:space="0" w:color="auto"/>
              <w:bottom w:val="single" w:sz="4" w:space="0" w:color="auto"/>
            </w:tcBorders>
            <w:vAlign w:val="bottom"/>
          </w:tcPr>
          <w:p w:rsidR="00BA5AF0" w:rsidRPr="008E588A" w:rsidRDefault="00BA5AF0" w:rsidP="003A389F">
            <w:pPr>
              <w:ind w:right="-108"/>
              <w:jc w:val="right"/>
              <w:rPr>
                <w:b/>
                <w:color w:val="auto"/>
                <w:sz w:val="20"/>
                <w:szCs w:val="20"/>
              </w:rPr>
            </w:pPr>
            <w:r w:rsidRPr="008E588A">
              <w:rPr>
                <w:b/>
                <w:color w:val="auto"/>
                <w:sz w:val="20"/>
                <w:szCs w:val="20"/>
              </w:rPr>
              <w:t>Increase</w:t>
            </w:r>
          </w:p>
          <w:p w:rsidR="00BA5AF0" w:rsidRPr="008E588A" w:rsidRDefault="00BA5AF0" w:rsidP="003A389F">
            <w:pPr>
              <w:ind w:right="-108"/>
              <w:jc w:val="right"/>
              <w:rPr>
                <w:b/>
                <w:color w:val="auto"/>
                <w:sz w:val="20"/>
                <w:szCs w:val="20"/>
              </w:rPr>
            </w:pPr>
            <w:r w:rsidRPr="008E588A">
              <w:rPr>
                <w:b/>
                <w:color w:val="auto"/>
                <w:sz w:val="20"/>
                <w:szCs w:val="20"/>
              </w:rPr>
              <w:t>(Decrease)</w:t>
            </w:r>
          </w:p>
        </w:tc>
      </w:tr>
      <w:tr w:rsidR="00BA5AF0" w:rsidRPr="008C3363" w:rsidTr="001262E8">
        <w:tc>
          <w:tcPr>
            <w:tcW w:w="4680" w:type="dxa"/>
            <w:tcBorders>
              <w:top w:val="single" w:sz="4" w:space="0" w:color="auto"/>
            </w:tcBorders>
            <w:vAlign w:val="bottom"/>
          </w:tcPr>
          <w:p w:rsidR="00BA5AF0" w:rsidRPr="008E588A" w:rsidRDefault="00BA5AF0" w:rsidP="00617C83">
            <w:pPr>
              <w:ind w:left="-108"/>
              <w:rPr>
                <w:color w:val="auto"/>
                <w:sz w:val="20"/>
                <w:szCs w:val="20"/>
              </w:rPr>
            </w:pPr>
            <w:r w:rsidRPr="008E588A">
              <w:rPr>
                <w:color w:val="auto"/>
                <w:sz w:val="20"/>
                <w:szCs w:val="20"/>
              </w:rPr>
              <w:t>Total revenues</w:t>
            </w:r>
          </w:p>
        </w:tc>
        <w:tc>
          <w:tcPr>
            <w:tcW w:w="1440" w:type="dxa"/>
            <w:tcBorders>
              <w:top w:val="single" w:sz="4" w:space="0" w:color="auto"/>
            </w:tcBorders>
            <w:vAlign w:val="bottom"/>
          </w:tcPr>
          <w:p w:rsidR="00BA5AF0" w:rsidRPr="008E588A" w:rsidRDefault="002D1FE5" w:rsidP="001262E8">
            <w:pPr>
              <w:tabs>
                <w:tab w:val="left" w:pos="1242"/>
              </w:tabs>
              <w:ind w:right="-18"/>
              <w:jc w:val="right"/>
              <w:rPr>
                <w:color w:val="auto"/>
                <w:sz w:val="20"/>
                <w:szCs w:val="20"/>
              </w:rPr>
            </w:pPr>
            <w:r w:rsidRPr="008E588A">
              <w:rPr>
                <w:color w:val="auto"/>
                <w:sz w:val="20"/>
                <w:szCs w:val="20"/>
              </w:rPr>
              <w:t>117.438</w:t>
            </w:r>
          </w:p>
        </w:tc>
        <w:tc>
          <w:tcPr>
            <w:tcW w:w="1080" w:type="dxa"/>
            <w:tcBorders>
              <w:top w:val="single" w:sz="4" w:space="0" w:color="auto"/>
            </w:tcBorders>
            <w:vAlign w:val="bottom"/>
          </w:tcPr>
          <w:p w:rsidR="00BA5AF0" w:rsidRPr="008E588A" w:rsidRDefault="002D1FE5" w:rsidP="001262E8">
            <w:pPr>
              <w:tabs>
                <w:tab w:val="left" w:pos="1041"/>
              </w:tabs>
              <w:ind w:right="-108"/>
              <w:jc w:val="right"/>
              <w:rPr>
                <w:color w:val="auto"/>
                <w:sz w:val="20"/>
                <w:szCs w:val="20"/>
              </w:rPr>
            </w:pPr>
            <w:r w:rsidRPr="008E588A">
              <w:rPr>
                <w:color w:val="auto"/>
                <w:sz w:val="20"/>
                <w:szCs w:val="20"/>
              </w:rPr>
              <w:t>115.304</w:t>
            </w:r>
          </w:p>
        </w:tc>
        <w:tc>
          <w:tcPr>
            <w:tcW w:w="1350" w:type="dxa"/>
            <w:tcBorders>
              <w:top w:val="single" w:sz="4" w:space="0" w:color="auto"/>
            </w:tcBorders>
            <w:vAlign w:val="bottom"/>
          </w:tcPr>
          <w:p w:rsidR="00BA5AF0" w:rsidRPr="008E588A" w:rsidRDefault="002D1FE5" w:rsidP="003A389F">
            <w:pPr>
              <w:ind w:right="-108"/>
              <w:jc w:val="right"/>
              <w:rPr>
                <w:color w:val="auto"/>
                <w:sz w:val="20"/>
                <w:szCs w:val="20"/>
              </w:rPr>
            </w:pPr>
            <w:r w:rsidRPr="008E588A">
              <w:rPr>
                <w:color w:val="auto"/>
                <w:sz w:val="20"/>
                <w:szCs w:val="20"/>
              </w:rPr>
              <w:t>2.134</w:t>
            </w:r>
          </w:p>
        </w:tc>
      </w:tr>
      <w:tr w:rsidR="002D1FE5" w:rsidRPr="008C3363" w:rsidTr="001262E8">
        <w:tc>
          <w:tcPr>
            <w:tcW w:w="4680" w:type="dxa"/>
            <w:vAlign w:val="bottom"/>
          </w:tcPr>
          <w:p w:rsidR="002D1FE5" w:rsidRPr="008E588A" w:rsidRDefault="002D1FE5" w:rsidP="00733960">
            <w:pPr>
              <w:ind w:left="-108"/>
              <w:rPr>
                <w:color w:val="auto"/>
                <w:sz w:val="20"/>
                <w:szCs w:val="20"/>
              </w:rPr>
            </w:pPr>
            <w:r w:rsidRPr="008E588A">
              <w:rPr>
                <w:color w:val="auto"/>
                <w:sz w:val="20"/>
                <w:szCs w:val="20"/>
              </w:rPr>
              <w:t>Total expenditures</w:t>
            </w:r>
          </w:p>
        </w:tc>
        <w:tc>
          <w:tcPr>
            <w:tcW w:w="1440" w:type="dxa"/>
            <w:vAlign w:val="bottom"/>
          </w:tcPr>
          <w:p w:rsidR="002D1FE5" w:rsidRPr="008E588A" w:rsidRDefault="002D1FE5" w:rsidP="001262E8">
            <w:pPr>
              <w:tabs>
                <w:tab w:val="left" w:pos="1242"/>
              </w:tabs>
              <w:ind w:right="-18"/>
              <w:jc w:val="right"/>
              <w:rPr>
                <w:color w:val="auto"/>
                <w:sz w:val="20"/>
                <w:szCs w:val="20"/>
              </w:rPr>
            </w:pPr>
            <w:r w:rsidRPr="008E588A">
              <w:rPr>
                <w:color w:val="auto"/>
                <w:sz w:val="20"/>
                <w:szCs w:val="20"/>
              </w:rPr>
              <w:t>401.178</w:t>
            </w:r>
          </w:p>
        </w:tc>
        <w:tc>
          <w:tcPr>
            <w:tcW w:w="1080" w:type="dxa"/>
            <w:vAlign w:val="bottom"/>
          </w:tcPr>
          <w:p w:rsidR="002D1FE5" w:rsidRPr="008E588A" w:rsidRDefault="002D1FE5" w:rsidP="001262E8">
            <w:pPr>
              <w:tabs>
                <w:tab w:val="left" w:pos="1041"/>
              </w:tabs>
              <w:ind w:right="-108"/>
              <w:jc w:val="right"/>
              <w:rPr>
                <w:color w:val="auto"/>
                <w:sz w:val="20"/>
                <w:szCs w:val="20"/>
              </w:rPr>
            </w:pPr>
            <w:r w:rsidRPr="008E588A">
              <w:rPr>
                <w:color w:val="auto"/>
                <w:sz w:val="20"/>
                <w:szCs w:val="20"/>
              </w:rPr>
              <w:t>267.960</w:t>
            </w:r>
          </w:p>
        </w:tc>
        <w:tc>
          <w:tcPr>
            <w:tcW w:w="1350" w:type="dxa"/>
            <w:vAlign w:val="bottom"/>
          </w:tcPr>
          <w:p w:rsidR="002D1FE5" w:rsidRPr="008E588A" w:rsidRDefault="002D1FE5" w:rsidP="003A389F">
            <w:pPr>
              <w:ind w:right="-108"/>
              <w:jc w:val="right"/>
              <w:rPr>
                <w:color w:val="auto"/>
                <w:sz w:val="20"/>
                <w:szCs w:val="20"/>
              </w:rPr>
            </w:pPr>
            <w:r w:rsidRPr="008E588A">
              <w:rPr>
                <w:color w:val="auto"/>
                <w:sz w:val="20"/>
                <w:szCs w:val="20"/>
              </w:rPr>
              <w:t>133.218</w:t>
            </w:r>
          </w:p>
        </w:tc>
      </w:tr>
      <w:tr w:rsidR="002D1FE5" w:rsidRPr="008C3363" w:rsidTr="001262E8">
        <w:tc>
          <w:tcPr>
            <w:tcW w:w="4680" w:type="dxa"/>
            <w:vAlign w:val="bottom"/>
          </w:tcPr>
          <w:p w:rsidR="002D1FE5" w:rsidRPr="008E588A" w:rsidRDefault="002D1FE5" w:rsidP="00617C83">
            <w:pPr>
              <w:ind w:left="-108"/>
              <w:rPr>
                <w:color w:val="auto"/>
                <w:sz w:val="20"/>
                <w:szCs w:val="20"/>
              </w:rPr>
            </w:pPr>
            <w:r w:rsidRPr="008E588A">
              <w:rPr>
                <w:color w:val="auto"/>
                <w:sz w:val="20"/>
                <w:szCs w:val="20"/>
              </w:rPr>
              <w:t>Loss from operations</w:t>
            </w:r>
          </w:p>
        </w:tc>
        <w:tc>
          <w:tcPr>
            <w:tcW w:w="1440" w:type="dxa"/>
            <w:vAlign w:val="bottom"/>
          </w:tcPr>
          <w:p w:rsidR="002D1FE5" w:rsidRPr="008E588A" w:rsidRDefault="002D1FE5" w:rsidP="001262E8">
            <w:pPr>
              <w:tabs>
                <w:tab w:val="left" w:pos="1242"/>
              </w:tabs>
              <w:ind w:right="-18"/>
              <w:jc w:val="right"/>
              <w:rPr>
                <w:color w:val="auto"/>
                <w:sz w:val="20"/>
                <w:szCs w:val="20"/>
              </w:rPr>
            </w:pPr>
            <w:r w:rsidRPr="008E588A">
              <w:rPr>
                <w:color w:val="auto"/>
                <w:sz w:val="20"/>
                <w:szCs w:val="20"/>
              </w:rPr>
              <w:t>283.740</w:t>
            </w:r>
          </w:p>
        </w:tc>
        <w:tc>
          <w:tcPr>
            <w:tcW w:w="1080" w:type="dxa"/>
            <w:vAlign w:val="bottom"/>
          </w:tcPr>
          <w:p w:rsidR="002D1FE5" w:rsidRPr="008E588A" w:rsidRDefault="002D1FE5" w:rsidP="001262E8">
            <w:pPr>
              <w:tabs>
                <w:tab w:val="left" w:pos="854"/>
                <w:tab w:val="left" w:pos="1041"/>
              </w:tabs>
              <w:ind w:right="-108"/>
              <w:jc w:val="right"/>
              <w:rPr>
                <w:color w:val="auto"/>
                <w:sz w:val="20"/>
                <w:szCs w:val="20"/>
              </w:rPr>
            </w:pPr>
            <w:r w:rsidRPr="008E588A">
              <w:rPr>
                <w:color w:val="auto"/>
                <w:sz w:val="20"/>
                <w:szCs w:val="20"/>
              </w:rPr>
              <w:t>152.656</w:t>
            </w:r>
          </w:p>
        </w:tc>
        <w:tc>
          <w:tcPr>
            <w:tcW w:w="1350" w:type="dxa"/>
            <w:vAlign w:val="bottom"/>
          </w:tcPr>
          <w:p w:rsidR="002D1FE5" w:rsidRPr="008E588A" w:rsidRDefault="002D1FE5" w:rsidP="003A389F">
            <w:pPr>
              <w:ind w:right="-108"/>
              <w:jc w:val="right"/>
              <w:rPr>
                <w:color w:val="auto"/>
                <w:sz w:val="20"/>
                <w:szCs w:val="20"/>
              </w:rPr>
            </w:pPr>
            <w:r w:rsidRPr="008E588A">
              <w:rPr>
                <w:color w:val="auto"/>
                <w:sz w:val="20"/>
                <w:szCs w:val="20"/>
              </w:rPr>
              <w:t>131.084</w:t>
            </w:r>
          </w:p>
        </w:tc>
      </w:tr>
      <w:tr w:rsidR="002D1FE5" w:rsidRPr="008C3363" w:rsidTr="001262E8">
        <w:tc>
          <w:tcPr>
            <w:tcW w:w="4680" w:type="dxa"/>
            <w:vAlign w:val="bottom"/>
          </w:tcPr>
          <w:p w:rsidR="002D1FE5" w:rsidRPr="008E588A" w:rsidRDefault="002D1FE5" w:rsidP="00617C83">
            <w:pPr>
              <w:ind w:left="-108"/>
              <w:rPr>
                <w:color w:val="auto"/>
                <w:sz w:val="20"/>
                <w:szCs w:val="20"/>
              </w:rPr>
            </w:pPr>
            <w:r w:rsidRPr="008E588A">
              <w:rPr>
                <w:color w:val="auto"/>
                <w:sz w:val="20"/>
                <w:szCs w:val="20"/>
              </w:rPr>
              <w:t>Subsidy from the national government</w:t>
            </w:r>
          </w:p>
        </w:tc>
        <w:tc>
          <w:tcPr>
            <w:tcW w:w="1440" w:type="dxa"/>
            <w:vAlign w:val="bottom"/>
          </w:tcPr>
          <w:p w:rsidR="002D1FE5" w:rsidRPr="008E588A" w:rsidRDefault="002D1FE5" w:rsidP="001262E8">
            <w:pPr>
              <w:tabs>
                <w:tab w:val="left" w:pos="1242"/>
              </w:tabs>
              <w:ind w:right="-18"/>
              <w:jc w:val="right"/>
              <w:rPr>
                <w:color w:val="auto"/>
                <w:sz w:val="20"/>
                <w:szCs w:val="20"/>
              </w:rPr>
            </w:pPr>
            <w:r w:rsidRPr="008E588A">
              <w:rPr>
                <w:color w:val="auto"/>
                <w:sz w:val="20"/>
                <w:szCs w:val="20"/>
              </w:rPr>
              <w:t>656.700</w:t>
            </w:r>
          </w:p>
        </w:tc>
        <w:tc>
          <w:tcPr>
            <w:tcW w:w="1080" w:type="dxa"/>
            <w:vAlign w:val="bottom"/>
          </w:tcPr>
          <w:p w:rsidR="002D1FE5" w:rsidRPr="008E588A" w:rsidRDefault="002D1FE5" w:rsidP="001262E8">
            <w:pPr>
              <w:tabs>
                <w:tab w:val="left" w:pos="1041"/>
              </w:tabs>
              <w:ind w:right="-108"/>
              <w:jc w:val="right"/>
              <w:rPr>
                <w:color w:val="auto"/>
                <w:sz w:val="20"/>
                <w:szCs w:val="20"/>
              </w:rPr>
            </w:pPr>
            <w:r w:rsidRPr="008E588A">
              <w:rPr>
                <w:color w:val="auto"/>
                <w:sz w:val="20"/>
                <w:szCs w:val="20"/>
              </w:rPr>
              <w:t>271.200</w:t>
            </w:r>
          </w:p>
        </w:tc>
        <w:tc>
          <w:tcPr>
            <w:tcW w:w="1350" w:type="dxa"/>
            <w:vAlign w:val="bottom"/>
          </w:tcPr>
          <w:p w:rsidR="002D1FE5" w:rsidRPr="008E588A" w:rsidRDefault="002D1FE5" w:rsidP="003A389F">
            <w:pPr>
              <w:ind w:right="-108"/>
              <w:jc w:val="right"/>
              <w:rPr>
                <w:color w:val="auto"/>
                <w:sz w:val="20"/>
                <w:szCs w:val="20"/>
              </w:rPr>
            </w:pPr>
            <w:r w:rsidRPr="008E588A">
              <w:rPr>
                <w:color w:val="auto"/>
                <w:sz w:val="20"/>
                <w:szCs w:val="20"/>
              </w:rPr>
              <w:t>385.500</w:t>
            </w:r>
          </w:p>
        </w:tc>
      </w:tr>
      <w:tr w:rsidR="002D1FE5" w:rsidRPr="008C3363" w:rsidTr="001262E8">
        <w:tc>
          <w:tcPr>
            <w:tcW w:w="4680" w:type="dxa"/>
            <w:tcBorders>
              <w:bottom w:val="double" w:sz="4" w:space="0" w:color="auto"/>
            </w:tcBorders>
            <w:vAlign w:val="bottom"/>
          </w:tcPr>
          <w:p w:rsidR="002D1FE5" w:rsidRPr="001262E8" w:rsidRDefault="002D1FE5" w:rsidP="00617C83">
            <w:pPr>
              <w:ind w:left="-108"/>
              <w:rPr>
                <w:color w:val="auto"/>
                <w:sz w:val="20"/>
                <w:szCs w:val="20"/>
              </w:rPr>
            </w:pPr>
            <w:r w:rsidRPr="001262E8">
              <w:rPr>
                <w:color w:val="auto"/>
                <w:sz w:val="20"/>
                <w:szCs w:val="20"/>
              </w:rPr>
              <w:t>Net income</w:t>
            </w:r>
          </w:p>
        </w:tc>
        <w:tc>
          <w:tcPr>
            <w:tcW w:w="1440" w:type="dxa"/>
            <w:tcBorders>
              <w:bottom w:val="double" w:sz="4" w:space="0" w:color="auto"/>
            </w:tcBorders>
            <w:vAlign w:val="bottom"/>
          </w:tcPr>
          <w:p w:rsidR="002D1FE5" w:rsidRPr="008E588A" w:rsidRDefault="002D1FE5" w:rsidP="001262E8">
            <w:pPr>
              <w:tabs>
                <w:tab w:val="left" w:pos="1242"/>
              </w:tabs>
              <w:ind w:right="-18"/>
              <w:jc w:val="right"/>
              <w:rPr>
                <w:color w:val="auto"/>
                <w:sz w:val="20"/>
                <w:szCs w:val="20"/>
              </w:rPr>
            </w:pPr>
            <w:r w:rsidRPr="008E588A">
              <w:rPr>
                <w:color w:val="auto"/>
                <w:sz w:val="20"/>
                <w:szCs w:val="20"/>
              </w:rPr>
              <w:t>372.960</w:t>
            </w:r>
          </w:p>
        </w:tc>
        <w:tc>
          <w:tcPr>
            <w:tcW w:w="1080" w:type="dxa"/>
            <w:tcBorders>
              <w:bottom w:val="double" w:sz="4" w:space="0" w:color="auto"/>
            </w:tcBorders>
            <w:vAlign w:val="bottom"/>
          </w:tcPr>
          <w:p w:rsidR="002D1FE5" w:rsidRPr="008E588A" w:rsidRDefault="002D1FE5" w:rsidP="001262E8">
            <w:pPr>
              <w:tabs>
                <w:tab w:val="left" w:pos="1041"/>
              </w:tabs>
              <w:ind w:right="-108"/>
              <w:jc w:val="right"/>
              <w:rPr>
                <w:color w:val="auto"/>
                <w:sz w:val="20"/>
                <w:szCs w:val="20"/>
              </w:rPr>
            </w:pPr>
            <w:r w:rsidRPr="008E588A">
              <w:rPr>
                <w:color w:val="auto"/>
                <w:sz w:val="20"/>
                <w:szCs w:val="20"/>
              </w:rPr>
              <w:t>118.544</w:t>
            </w:r>
          </w:p>
        </w:tc>
        <w:tc>
          <w:tcPr>
            <w:tcW w:w="1350" w:type="dxa"/>
            <w:tcBorders>
              <w:bottom w:val="double" w:sz="4" w:space="0" w:color="auto"/>
            </w:tcBorders>
            <w:vAlign w:val="bottom"/>
          </w:tcPr>
          <w:p w:rsidR="002D1FE5" w:rsidRPr="008E588A" w:rsidRDefault="002D1FE5" w:rsidP="003A389F">
            <w:pPr>
              <w:ind w:right="-108"/>
              <w:jc w:val="right"/>
              <w:rPr>
                <w:color w:val="auto"/>
                <w:sz w:val="20"/>
                <w:szCs w:val="20"/>
              </w:rPr>
            </w:pPr>
            <w:r w:rsidRPr="008E588A">
              <w:rPr>
                <w:color w:val="auto"/>
                <w:sz w:val="20"/>
                <w:szCs w:val="20"/>
              </w:rPr>
              <w:t>254.416</w:t>
            </w:r>
          </w:p>
        </w:tc>
      </w:tr>
    </w:tbl>
    <w:p w:rsidR="00BA5AF0" w:rsidRDefault="00BA5AF0" w:rsidP="008C3363">
      <w:pPr>
        <w:jc w:val="both"/>
        <w:rPr>
          <w:b/>
          <w:color w:val="auto"/>
          <w:sz w:val="23"/>
          <w:szCs w:val="23"/>
        </w:rPr>
      </w:pPr>
    </w:p>
    <w:p w:rsidR="002D1FE5" w:rsidRPr="00427E2B" w:rsidRDefault="002D1FE5" w:rsidP="001262E8">
      <w:pPr>
        <w:tabs>
          <w:tab w:val="left" w:pos="540"/>
        </w:tabs>
        <w:jc w:val="both"/>
        <w:rPr>
          <w:b/>
          <w:color w:val="auto"/>
        </w:rPr>
      </w:pPr>
      <w:r>
        <w:rPr>
          <w:b/>
          <w:color w:val="auto"/>
          <w:sz w:val="23"/>
          <w:szCs w:val="23"/>
        </w:rPr>
        <w:t>III.</w:t>
      </w:r>
      <w:r>
        <w:rPr>
          <w:b/>
          <w:color w:val="auto"/>
          <w:sz w:val="23"/>
          <w:szCs w:val="23"/>
        </w:rPr>
        <w:tab/>
      </w:r>
      <w:r w:rsidRPr="00427E2B">
        <w:rPr>
          <w:b/>
          <w:color w:val="auto"/>
        </w:rPr>
        <w:t xml:space="preserve">Budget </w:t>
      </w:r>
      <w:r w:rsidR="005D1D0F" w:rsidRPr="005D1D0F">
        <w:rPr>
          <w:b/>
          <w:i/>
          <w:color w:val="auto"/>
        </w:rPr>
        <w:t>vis-à-vis</w:t>
      </w:r>
      <w:r w:rsidR="005D1D0F">
        <w:rPr>
          <w:b/>
          <w:color w:val="auto"/>
        </w:rPr>
        <w:t xml:space="preserve"> </w:t>
      </w:r>
      <w:r w:rsidRPr="00427E2B">
        <w:rPr>
          <w:b/>
          <w:color w:val="auto"/>
        </w:rPr>
        <w:t>Actual Amounts Expended</w:t>
      </w:r>
    </w:p>
    <w:tbl>
      <w:tblPr>
        <w:tblStyle w:val="TableGrid"/>
        <w:tblW w:w="85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350"/>
        <w:gridCol w:w="90"/>
        <w:gridCol w:w="1170"/>
        <w:gridCol w:w="90"/>
        <w:gridCol w:w="1170"/>
      </w:tblGrid>
      <w:tr w:rsidR="003A389F" w:rsidRPr="00BA5AF0" w:rsidTr="001262E8">
        <w:tc>
          <w:tcPr>
            <w:tcW w:w="4680" w:type="dxa"/>
            <w:tcBorders>
              <w:top w:val="single" w:sz="4" w:space="0" w:color="auto"/>
              <w:bottom w:val="single" w:sz="4" w:space="0" w:color="auto"/>
            </w:tcBorders>
          </w:tcPr>
          <w:p w:rsidR="003A389F" w:rsidRPr="008E588A" w:rsidRDefault="003A389F" w:rsidP="00617C83">
            <w:pPr>
              <w:jc w:val="both"/>
              <w:rPr>
                <w:b/>
                <w:color w:val="auto"/>
                <w:sz w:val="20"/>
                <w:szCs w:val="20"/>
              </w:rPr>
            </w:pPr>
          </w:p>
        </w:tc>
        <w:tc>
          <w:tcPr>
            <w:tcW w:w="1440" w:type="dxa"/>
            <w:gridSpan w:val="2"/>
            <w:tcBorders>
              <w:top w:val="single" w:sz="4" w:space="0" w:color="auto"/>
              <w:bottom w:val="single" w:sz="4" w:space="0" w:color="auto"/>
            </w:tcBorders>
            <w:vAlign w:val="bottom"/>
          </w:tcPr>
          <w:p w:rsidR="003A389F" w:rsidRPr="008E588A" w:rsidRDefault="003A389F" w:rsidP="001262E8">
            <w:pPr>
              <w:ind w:right="-18"/>
              <w:jc w:val="right"/>
              <w:rPr>
                <w:b/>
                <w:color w:val="auto"/>
                <w:sz w:val="20"/>
                <w:szCs w:val="20"/>
              </w:rPr>
            </w:pPr>
            <w:r w:rsidRPr="008E588A">
              <w:rPr>
                <w:b/>
                <w:color w:val="auto"/>
                <w:sz w:val="20"/>
                <w:szCs w:val="20"/>
              </w:rPr>
              <w:t>Budget</w:t>
            </w:r>
          </w:p>
        </w:tc>
        <w:tc>
          <w:tcPr>
            <w:tcW w:w="1260" w:type="dxa"/>
            <w:gridSpan w:val="2"/>
            <w:tcBorders>
              <w:top w:val="single" w:sz="4" w:space="0" w:color="auto"/>
              <w:bottom w:val="single" w:sz="4" w:space="0" w:color="auto"/>
            </w:tcBorders>
            <w:vAlign w:val="bottom"/>
          </w:tcPr>
          <w:p w:rsidR="003A389F" w:rsidRPr="008E588A" w:rsidRDefault="003A389F" w:rsidP="001262E8">
            <w:pPr>
              <w:ind w:left="72" w:right="-108" w:firstLine="72"/>
              <w:rPr>
                <w:b/>
                <w:color w:val="auto"/>
                <w:sz w:val="20"/>
                <w:szCs w:val="20"/>
              </w:rPr>
            </w:pPr>
            <w:r w:rsidRPr="008E588A">
              <w:rPr>
                <w:b/>
                <w:color w:val="auto"/>
                <w:sz w:val="20"/>
                <w:szCs w:val="20"/>
              </w:rPr>
              <w:t>Amount Expended</w:t>
            </w:r>
          </w:p>
        </w:tc>
        <w:tc>
          <w:tcPr>
            <w:tcW w:w="1170" w:type="dxa"/>
            <w:tcBorders>
              <w:top w:val="single" w:sz="4" w:space="0" w:color="auto"/>
              <w:bottom w:val="single" w:sz="4" w:space="0" w:color="auto"/>
            </w:tcBorders>
            <w:vAlign w:val="bottom"/>
          </w:tcPr>
          <w:p w:rsidR="003A389F" w:rsidRPr="008E588A" w:rsidRDefault="003A389F" w:rsidP="003A389F">
            <w:pPr>
              <w:ind w:right="-108"/>
              <w:jc w:val="right"/>
              <w:rPr>
                <w:b/>
                <w:color w:val="auto"/>
                <w:sz w:val="20"/>
                <w:szCs w:val="20"/>
              </w:rPr>
            </w:pPr>
            <w:r w:rsidRPr="008E588A">
              <w:rPr>
                <w:b/>
                <w:color w:val="auto"/>
                <w:sz w:val="20"/>
                <w:szCs w:val="20"/>
              </w:rPr>
              <w:t>Balance</w:t>
            </w:r>
          </w:p>
        </w:tc>
      </w:tr>
      <w:tr w:rsidR="003A389F" w:rsidRPr="008C3363" w:rsidTr="001262E8">
        <w:tc>
          <w:tcPr>
            <w:tcW w:w="4680" w:type="dxa"/>
            <w:tcBorders>
              <w:top w:val="single" w:sz="4" w:space="0" w:color="auto"/>
            </w:tcBorders>
            <w:vAlign w:val="bottom"/>
          </w:tcPr>
          <w:p w:rsidR="003A389F" w:rsidRPr="008E588A" w:rsidRDefault="003A389F" w:rsidP="00617C83">
            <w:pPr>
              <w:ind w:left="-108"/>
              <w:rPr>
                <w:color w:val="auto"/>
                <w:sz w:val="20"/>
                <w:szCs w:val="20"/>
              </w:rPr>
            </w:pPr>
            <w:r w:rsidRPr="008E588A">
              <w:rPr>
                <w:color w:val="auto"/>
                <w:sz w:val="20"/>
                <w:szCs w:val="20"/>
              </w:rPr>
              <w:t>Personal services</w:t>
            </w:r>
          </w:p>
        </w:tc>
        <w:tc>
          <w:tcPr>
            <w:tcW w:w="1350" w:type="dxa"/>
            <w:tcBorders>
              <w:top w:val="single" w:sz="4" w:space="0" w:color="auto"/>
            </w:tcBorders>
            <w:vAlign w:val="bottom"/>
          </w:tcPr>
          <w:p w:rsidR="003A389F" w:rsidRPr="008E588A" w:rsidRDefault="003A389F" w:rsidP="001262E8">
            <w:pPr>
              <w:ind w:right="-108"/>
              <w:jc w:val="right"/>
              <w:rPr>
                <w:color w:val="auto"/>
                <w:sz w:val="20"/>
                <w:szCs w:val="20"/>
              </w:rPr>
            </w:pPr>
            <w:r w:rsidRPr="008E588A">
              <w:rPr>
                <w:color w:val="auto"/>
                <w:sz w:val="20"/>
                <w:szCs w:val="20"/>
              </w:rPr>
              <w:t>192.488</w:t>
            </w:r>
          </w:p>
        </w:tc>
        <w:tc>
          <w:tcPr>
            <w:tcW w:w="1260" w:type="dxa"/>
            <w:gridSpan w:val="2"/>
            <w:tcBorders>
              <w:top w:val="single" w:sz="4" w:space="0" w:color="auto"/>
            </w:tcBorders>
            <w:vAlign w:val="bottom"/>
          </w:tcPr>
          <w:p w:rsidR="003A389F" w:rsidRPr="008E588A" w:rsidRDefault="003A389F" w:rsidP="001262E8">
            <w:pPr>
              <w:ind w:right="-18"/>
              <w:jc w:val="right"/>
              <w:rPr>
                <w:color w:val="auto"/>
                <w:sz w:val="20"/>
                <w:szCs w:val="20"/>
              </w:rPr>
            </w:pPr>
            <w:r w:rsidRPr="008E588A">
              <w:rPr>
                <w:color w:val="auto"/>
                <w:sz w:val="20"/>
                <w:szCs w:val="20"/>
              </w:rPr>
              <w:t>171.635</w:t>
            </w:r>
          </w:p>
        </w:tc>
        <w:tc>
          <w:tcPr>
            <w:tcW w:w="1260" w:type="dxa"/>
            <w:gridSpan w:val="2"/>
            <w:tcBorders>
              <w:top w:val="single" w:sz="4" w:space="0" w:color="auto"/>
            </w:tcBorders>
            <w:vAlign w:val="bottom"/>
          </w:tcPr>
          <w:p w:rsidR="003A389F" w:rsidRPr="008E588A" w:rsidRDefault="003A389F" w:rsidP="003A389F">
            <w:pPr>
              <w:ind w:right="-108"/>
              <w:jc w:val="right"/>
              <w:rPr>
                <w:color w:val="auto"/>
                <w:sz w:val="20"/>
                <w:szCs w:val="20"/>
              </w:rPr>
            </w:pPr>
            <w:r w:rsidRPr="008E588A">
              <w:rPr>
                <w:color w:val="auto"/>
                <w:sz w:val="20"/>
                <w:szCs w:val="20"/>
              </w:rPr>
              <w:t>20.853</w:t>
            </w:r>
          </w:p>
        </w:tc>
      </w:tr>
      <w:tr w:rsidR="003A389F" w:rsidRPr="008C3363" w:rsidTr="001262E8">
        <w:tc>
          <w:tcPr>
            <w:tcW w:w="4680" w:type="dxa"/>
            <w:vAlign w:val="bottom"/>
          </w:tcPr>
          <w:p w:rsidR="003A389F" w:rsidRPr="008E588A" w:rsidRDefault="003A389F" w:rsidP="00617C83">
            <w:pPr>
              <w:ind w:left="-108"/>
              <w:rPr>
                <w:color w:val="auto"/>
                <w:sz w:val="20"/>
                <w:szCs w:val="20"/>
              </w:rPr>
            </w:pPr>
            <w:r w:rsidRPr="008E588A">
              <w:rPr>
                <w:color w:val="auto"/>
                <w:sz w:val="20"/>
                <w:szCs w:val="20"/>
              </w:rPr>
              <w:t>Maintenance and other operating expenses</w:t>
            </w:r>
          </w:p>
        </w:tc>
        <w:tc>
          <w:tcPr>
            <w:tcW w:w="1350" w:type="dxa"/>
            <w:vAlign w:val="bottom"/>
          </w:tcPr>
          <w:p w:rsidR="003A389F" w:rsidRPr="008E588A" w:rsidRDefault="003A389F" w:rsidP="001262E8">
            <w:pPr>
              <w:ind w:right="-108"/>
              <w:jc w:val="right"/>
              <w:rPr>
                <w:color w:val="auto"/>
                <w:sz w:val="20"/>
                <w:szCs w:val="20"/>
              </w:rPr>
            </w:pPr>
            <w:r w:rsidRPr="008E588A">
              <w:rPr>
                <w:color w:val="auto"/>
                <w:sz w:val="20"/>
                <w:szCs w:val="20"/>
              </w:rPr>
              <w:t>501.927</w:t>
            </w:r>
          </w:p>
        </w:tc>
        <w:tc>
          <w:tcPr>
            <w:tcW w:w="1260" w:type="dxa"/>
            <w:gridSpan w:val="2"/>
            <w:vAlign w:val="bottom"/>
          </w:tcPr>
          <w:p w:rsidR="003A389F" w:rsidRPr="008E588A" w:rsidRDefault="003A389F" w:rsidP="001262E8">
            <w:pPr>
              <w:ind w:right="-18"/>
              <w:jc w:val="right"/>
              <w:rPr>
                <w:color w:val="auto"/>
                <w:sz w:val="20"/>
                <w:szCs w:val="20"/>
              </w:rPr>
            </w:pPr>
            <w:r w:rsidRPr="008E588A">
              <w:rPr>
                <w:color w:val="auto"/>
                <w:sz w:val="20"/>
                <w:szCs w:val="20"/>
              </w:rPr>
              <w:t>69.657</w:t>
            </w:r>
          </w:p>
        </w:tc>
        <w:tc>
          <w:tcPr>
            <w:tcW w:w="1260" w:type="dxa"/>
            <w:gridSpan w:val="2"/>
            <w:vAlign w:val="bottom"/>
          </w:tcPr>
          <w:p w:rsidR="003A389F" w:rsidRPr="008E588A" w:rsidRDefault="003A389F" w:rsidP="003A389F">
            <w:pPr>
              <w:ind w:right="-108"/>
              <w:jc w:val="right"/>
              <w:rPr>
                <w:color w:val="auto"/>
                <w:sz w:val="20"/>
                <w:szCs w:val="20"/>
              </w:rPr>
            </w:pPr>
            <w:r w:rsidRPr="008E588A">
              <w:rPr>
                <w:color w:val="auto"/>
                <w:sz w:val="20"/>
                <w:szCs w:val="20"/>
              </w:rPr>
              <w:t>432.270</w:t>
            </w:r>
          </w:p>
        </w:tc>
      </w:tr>
      <w:tr w:rsidR="003A389F" w:rsidRPr="008C3363" w:rsidTr="001262E8">
        <w:tc>
          <w:tcPr>
            <w:tcW w:w="4680" w:type="dxa"/>
            <w:vAlign w:val="bottom"/>
          </w:tcPr>
          <w:p w:rsidR="003A389F" w:rsidRPr="008E588A" w:rsidRDefault="003A389F" w:rsidP="00617C83">
            <w:pPr>
              <w:ind w:left="-108"/>
              <w:rPr>
                <w:color w:val="auto"/>
                <w:sz w:val="20"/>
                <w:szCs w:val="20"/>
              </w:rPr>
            </w:pPr>
            <w:r w:rsidRPr="008E588A">
              <w:rPr>
                <w:color w:val="auto"/>
                <w:sz w:val="20"/>
                <w:szCs w:val="20"/>
              </w:rPr>
              <w:t>Investment outlay</w:t>
            </w:r>
          </w:p>
        </w:tc>
        <w:tc>
          <w:tcPr>
            <w:tcW w:w="1350" w:type="dxa"/>
            <w:vAlign w:val="bottom"/>
          </w:tcPr>
          <w:p w:rsidR="003A389F" w:rsidRPr="008E588A" w:rsidRDefault="003A389F" w:rsidP="001262E8">
            <w:pPr>
              <w:ind w:right="-108"/>
              <w:jc w:val="right"/>
              <w:rPr>
                <w:color w:val="auto"/>
                <w:sz w:val="20"/>
                <w:szCs w:val="20"/>
              </w:rPr>
            </w:pPr>
            <w:r w:rsidRPr="008E588A">
              <w:rPr>
                <w:color w:val="auto"/>
                <w:sz w:val="20"/>
                <w:szCs w:val="20"/>
              </w:rPr>
              <w:t>76.019</w:t>
            </w:r>
          </w:p>
        </w:tc>
        <w:tc>
          <w:tcPr>
            <w:tcW w:w="1260" w:type="dxa"/>
            <w:gridSpan w:val="2"/>
            <w:vAlign w:val="bottom"/>
          </w:tcPr>
          <w:p w:rsidR="003A389F" w:rsidRPr="008E588A" w:rsidRDefault="003A389F" w:rsidP="001262E8">
            <w:pPr>
              <w:ind w:right="-18"/>
              <w:jc w:val="right"/>
              <w:rPr>
                <w:color w:val="auto"/>
                <w:sz w:val="20"/>
                <w:szCs w:val="20"/>
              </w:rPr>
            </w:pPr>
            <w:r w:rsidRPr="008E588A">
              <w:rPr>
                <w:color w:val="auto"/>
                <w:sz w:val="20"/>
                <w:szCs w:val="20"/>
              </w:rPr>
              <w:t>36.769</w:t>
            </w:r>
          </w:p>
        </w:tc>
        <w:tc>
          <w:tcPr>
            <w:tcW w:w="1260" w:type="dxa"/>
            <w:gridSpan w:val="2"/>
            <w:vAlign w:val="bottom"/>
          </w:tcPr>
          <w:p w:rsidR="003A389F" w:rsidRPr="008E588A" w:rsidRDefault="003A389F" w:rsidP="003A389F">
            <w:pPr>
              <w:ind w:right="-108"/>
              <w:jc w:val="right"/>
              <w:rPr>
                <w:color w:val="auto"/>
                <w:sz w:val="20"/>
                <w:szCs w:val="20"/>
              </w:rPr>
            </w:pPr>
            <w:r w:rsidRPr="008E588A">
              <w:rPr>
                <w:color w:val="auto"/>
                <w:sz w:val="20"/>
                <w:szCs w:val="20"/>
              </w:rPr>
              <w:t>39.250</w:t>
            </w:r>
          </w:p>
        </w:tc>
      </w:tr>
      <w:tr w:rsidR="003A389F" w:rsidRPr="008C3363" w:rsidTr="001262E8">
        <w:tc>
          <w:tcPr>
            <w:tcW w:w="4680" w:type="dxa"/>
            <w:tcBorders>
              <w:bottom w:val="single" w:sz="4" w:space="0" w:color="auto"/>
            </w:tcBorders>
            <w:vAlign w:val="bottom"/>
          </w:tcPr>
          <w:p w:rsidR="003A389F" w:rsidRPr="008E588A" w:rsidRDefault="003A389F" w:rsidP="00617C83">
            <w:pPr>
              <w:ind w:left="-108"/>
              <w:rPr>
                <w:color w:val="auto"/>
                <w:sz w:val="20"/>
                <w:szCs w:val="20"/>
              </w:rPr>
            </w:pPr>
            <w:r w:rsidRPr="008E588A">
              <w:rPr>
                <w:color w:val="auto"/>
                <w:sz w:val="20"/>
                <w:szCs w:val="20"/>
              </w:rPr>
              <w:t>Capital outlay</w:t>
            </w:r>
          </w:p>
        </w:tc>
        <w:tc>
          <w:tcPr>
            <w:tcW w:w="1350" w:type="dxa"/>
            <w:tcBorders>
              <w:bottom w:val="single" w:sz="4" w:space="0" w:color="auto"/>
            </w:tcBorders>
            <w:vAlign w:val="bottom"/>
          </w:tcPr>
          <w:p w:rsidR="003A389F" w:rsidRPr="008E588A" w:rsidRDefault="003A389F" w:rsidP="001262E8">
            <w:pPr>
              <w:ind w:right="-108"/>
              <w:jc w:val="right"/>
              <w:rPr>
                <w:color w:val="auto"/>
                <w:sz w:val="20"/>
                <w:szCs w:val="20"/>
              </w:rPr>
            </w:pPr>
            <w:r w:rsidRPr="008E588A">
              <w:rPr>
                <w:color w:val="auto"/>
                <w:sz w:val="20"/>
                <w:szCs w:val="20"/>
              </w:rPr>
              <w:t>289.000</w:t>
            </w:r>
          </w:p>
        </w:tc>
        <w:tc>
          <w:tcPr>
            <w:tcW w:w="1260" w:type="dxa"/>
            <w:gridSpan w:val="2"/>
            <w:tcBorders>
              <w:bottom w:val="single" w:sz="4" w:space="0" w:color="auto"/>
            </w:tcBorders>
            <w:vAlign w:val="bottom"/>
          </w:tcPr>
          <w:p w:rsidR="003A389F" w:rsidRPr="008E588A" w:rsidRDefault="003A389F" w:rsidP="001262E8">
            <w:pPr>
              <w:ind w:right="-18"/>
              <w:jc w:val="right"/>
              <w:rPr>
                <w:color w:val="auto"/>
                <w:sz w:val="20"/>
                <w:szCs w:val="20"/>
              </w:rPr>
            </w:pPr>
            <w:r w:rsidRPr="008E588A">
              <w:rPr>
                <w:color w:val="auto"/>
                <w:sz w:val="20"/>
                <w:szCs w:val="20"/>
              </w:rPr>
              <w:t>246.882</w:t>
            </w:r>
          </w:p>
        </w:tc>
        <w:tc>
          <w:tcPr>
            <w:tcW w:w="1260" w:type="dxa"/>
            <w:gridSpan w:val="2"/>
            <w:tcBorders>
              <w:bottom w:val="single" w:sz="4" w:space="0" w:color="auto"/>
            </w:tcBorders>
            <w:vAlign w:val="bottom"/>
          </w:tcPr>
          <w:p w:rsidR="003A389F" w:rsidRPr="008E588A" w:rsidRDefault="003A389F" w:rsidP="003A389F">
            <w:pPr>
              <w:ind w:right="-108"/>
              <w:jc w:val="right"/>
              <w:rPr>
                <w:color w:val="auto"/>
                <w:sz w:val="20"/>
                <w:szCs w:val="20"/>
              </w:rPr>
            </w:pPr>
            <w:r w:rsidRPr="008E588A">
              <w:rPr>
                <w:color w:val="auto"/>
                <w:sz w:val="20"/>
                <w:szCs w:val="20"/>
              </w:rPr>
              <w:t>42.118</w:t>
            </w:r>
          </w:p>
        </w:tc>
      </w:tr>
      <w:tr w:rsidR="003A389F" w:rsidRPr="008C3363" w:rsidTr="001262E8">
        <w:tc>
          <w:tcPr>
            <w:tcW w:w="4680" w:type="dxa"/>
            <w:tcBorders>
              <w:top w:val="single" w:sz="4" w:space="0" w:color="auto"/>
              <w:bottom w:val="double" w:sz="4" w:space="0" w:color="auto"/>
            </w:tcBorders>
            <w:vAlign w:val="bottom"/>
          </w:tcPr>
          <w:p w:rsidR="003A389F" w:rsidRPr="008E588A" w:rsidRDefault="003A389F" w:rsidP="00617C83">
            <w:pPr>
              <w:ind w:left="-108"/>
              <w:rPr>
                <w:b/>
                <w:color w:val="auto"/>
                <w:sz w:val="20"/>
                <w:szCs w:val="20"/>
              </w:rPr>
            </w:pPr>
          </w:p>
        </w:tc>
        <w:tc>
          <w:tcPr>
            <w:tcW w:w="1350" w:type="dxa"/>
            <w:tcBorders>
              <w:top w:val="single" w:sz="4" w:space="0" w:color="auto"/>
              <w:bottom w:val="double" w:sz="4" w:space="0" w:color="auto"/>
            </w:tcBorders>
            <w:vAlign w:val="bottom"/>
          </w:tcPr>
          <w:p w:rsidR="003A389F" w:rsidRPr="008E588A" w:rsidRDefault="003A389F" w:rsidP="001262E8">
            <w:pPr>
              <w:ind w:right="-108"/>
              <w:jc w:val="right"/>
              <w:rPr>
                <w:color w:val="auto"/>
                <w:sz w:val="20"/>
                <w:szCs w:val="20"/>
              </w:rPr>
            </w:pPr>
            <w:r w:rsidRPr="008E588A">
              <w:rPr>
                <w:color w:val="auto"/>
                <w:sz w:val="20"/>
                <w:szCs w:val="20"/>
              </w:rPr>
              <w:t>1,059.434</w:t>
            </w:r>
          </w:p>
        </w:tc>
        <w:tc>
          <w:tcPr>
            <w:tcW w:w="1260" w:type="dxa"/>
            <w:gridSpan w:val="2"/>
            <w:tcBorders>
              <w:top w:val="single" w:sz="4" w:space="0" w:color="auto"/>
              <w:bottom w:val="double" w:sz="4" w:space="0" w:color="auto"/>
            </w:tcBorders>
            <w:vAlign w:val="bottom"/>
          </w:tcPr>
          <w:p w:rsidR="003A389F" w:rsidRPr="008E588A" w:rsidRDefault="003A389F" w:rsidP="001262E8">
            <w:pPr>
              <w:ind w:right="-18"/>
              <w:jc w:val="right"/>
              <w:rPr>
                <w:color w:val="auto"/>
                <w:sz w:val="20"/>
                <w:szCs w:val="20"/>
              </w:rPr>
            </w:pPr>
            <w:r w:rsidRPr="008E588A">
              <w:rPr>
                <w:color w:val="auto"/>
                <w:sz w:val="20"/>
                <w:szCs w:val="20"/>
              </w:rPr>
              <w:t>524.943</w:t>
            </w:r>
          </w:p>
        </w:tc>
        <w:tc>
          <w:tcPr>
            <w:tcW w:w="1260" w:type="dxa"/>
            <w:gridSpan w:val="2"/>
            <w:tcBorders>
              <w:top w:val="single" w:sz="4" w:space="0" w:color="auto"/>
              <w:bottom w:val="double" w:sz="4" w:space="0" w:color="auto"/>
            </w:tcBorders>
            <w:vAlign w:val="bottom"/>
          </w:tcPr>
          <w:p w:rsidR="003A389F" w:rsidRPr="008E588A" w:rsidRDefault="003A389F" w:rsidP="003A389F">
            <w:pPr>
              <w:ind w:right="-108"/>
              <w:jc w:val="right"/>
              <w:rPr>
                <w:color w:val="auto"/>
                <w:sz w:val="20"/>
                <w:szCs w:val="20"/>
              </w:rPr>
            </w:pPr>
            <w:r w:rsidRPr="008E588A">
              <w:rPr>
                <w:color w:val="auto"/>
                <w:sz w:val="20"/>
                <w:szCs w:val="20"/>
              </w:rPr>
              <w:t>534.491</w:t>
            </w:r>
          </w:p>
        </w:tc>
      </w:tr>
    </w:tbl>
    <w:p w:rsidR="003A389F" w:rsidRDefault="003A389F" w:rsidP="003A389F">
      <w:pPr>
        <w:jc w:val="both"/>
        <w:rPr>
          <w:b/>
          <w:color w:val="auto"/>
          <w:sz w:val="23"/>
          <w:szCs w:val="23"/>
        </w:rPr>
      </w:pPr>
    </w:p>
    <w:p w:rsidR="002D1FE5" w:rsidRDefault="002D1FE5" w:rsidP="008C3363">
      <w:pPr>
        <w:jc w:val="both"/>
        <w:rPr>
          <w:b/>
          <w:color w:val="auto"/>
          <w:sz w:val="23"/>
          <w:szCs w:val="23"/>
        </w:rPr>
      </w:pPr>
    </w:p>
    <w:p w:rsidR="002D1FE5" w:rsidRDefault="00DF19C9" w:rsidP="00BC0D52">
      <w:pPr>
        <w:spacing w:after="0" w:line="240" w:lineRule="auto"/>
        <w:jc w:val="both"/>
        <w:rPr>
          <w:b/>
          <w:color w:val="auto"/>
        </w:rPr>
      </w:pPr>
      <w:r w:rsidRPr="003E31E0">
        <w:rPr>
          <w:b/>
          <w:color w:val="auto"/>
        </w:rPr>
        <w:lastRenderedPageBreak/>
        <w:t>SCOPE OF AUDIT</w:t>
      </w:r>
    </w:p>
    <w:p w:rsidR="00BD28A3" w:rsidRPr="003E31E0" w:rsidRDefault="00BD28A3" w:rsidP="00BC0D52">
      <w:pPr>
        <w:spacing w:after="0" w:line="240" w:lineRule="auto"/>
        <w:jc w:val="both"/>
        <w:rPr>
          <w:b/>
          <w:color w:val="auto"/>
        </w:rPr>
      </w:pPr>
    </w:p>
    <w:p w:rsidR="00DF19C9" w:rsidRDefault="00DF19C9" w:rsidP="00BC0D52">
      <w:pPr>
        <w:spacing w:after="0" w:line="240" w:lineRule="auto"/>
        <w:jc w:val="both"/>
        <w:rPr>
          <w:color w:val="auto"/>
        </w:rPr>
      </w:pPr>
      <w:r w:rsidRPr="003E31E0">
        <w:rPr>
          <w:color w:val="auto"/>
        </w:rPr>
        <w:t>Our audit covers the operations of NTA for Calendar Year (CY) 2014.</w:t>
      </w:r>
      <w:r w:rsidR="00427E2B" w:rsidRPr="003E31E0">
        <w:rPr>
          <w:color w:val="auto"/>
        </w:rPr>
        <w:t xml:space="preserve">  Our audit involved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w:t>
      </w:r>
      <w:r w:rsidR="003E31E0" w:rsidRPr="003E31E0">
        <w:rPr>
          <w:color w:val="auto"/>
        </w:rPr>
        <w:t>.</w:t>
      </w:r>
    </w:p>
    <w:p w:rsidR="00BC0D52" w:rsidRPr="003E31E0" w:rsidRDefault="00BC0D52" w:rsidP="00BC0D52">
      <w:pPr>
        <w:spacing w:after="0" w:line="240" w:lineRule="auto"/>
        <w:jc w:val="both"/>
        <w:rPr>
          <w:color w:val="auto"/>
        </w:rPr>
      </w:pPr>
    </w:p>
    <w:p w:rsidR="00BC0D52" w:rsidRDefault="00BC0D52" w:rsidP="00BC0D52">
      <w:pPr>
        <w:spacing w:after="0" w:line="240" w:lineRule="auto"/>
        <w:jc w:val="both"/>
        <w:rPr>
          <w:b/>
          <w:color w:val="auto"/>
        </w:rPr>
      </w:pPr>
    </w:p>
    <w:p w:rsidR="002D1FE5" w:rsidRDefault="00427E2B" w:rsidP="00BC0D52">
      <w:pPr>
        <w:spacing w:after="0" w:line="240" w:lineRule="auto"/>
        <w:jc w:val="both"/>
        <w:rPr>
          <w:b/>
          <w:color w:val="auto"/>
        </w:rPr>
      </w:pPr>
      <w:r w:rsidRPr="00427E2B">
        <w:rPr>
          <w:b/>
          <w:color w:val="auto"/>
        </w:rPr>
        <w:t>AUDITOR’S OPINION</w:t>
      </w:r>
    </w:p>
    <w:p w:rsidR="00BC0D52" w:rsidRPr="00427E2B" w:rsidRDefault="00BC0D52" w:rsidP="00BC0D52">
      <w:pPr>
        <w:spacing w:after="0" w:line="240" w:lineRule="auto"/>
        <w:jc w:val="both"/>
        <w:rPr>
          <w:b/>
          <w:color w:val="auto"/>
        </w:rPr>
      </w:pPr>
    </w:p>
    <w:p w:rsidR="00427E2B" w:rsidRPr="003E31E0" w:rsidRDefault="00427E2B" w:rsidP="008C3363">
      <w:pPr>
        <w:jc w:val="both"/>
        <w:rPr>
          <w:color w:val="auto"/>
        </w:rPr>
      </w:pPr>
      <w:r w:rsidRPr="003E31E0">
        <w:rPr>
          <w:color w:val="auto"/>
        </w:rPr>
        <w:t>We rendered a qualified opinion on the fairness of the presentation of the financial statements in view of the following exceptions:</w:t>
      </w:r>
    </w:p>
    <w:p w:rsidR="00DF0F76" w:rsidRPr="003E31E0" w:rsidRDefault="00DF0F76" w:rsidP="00DF0F76">
      <w:pPr>
        <w:numPr>
          <w:ilvl w:val="0"/>
          <w:numId w:val="6"/>
        </w:numPr>
        <w:tabs>
          <w:tab w:val="left" w:pos="540"/>
          <w:tab w:val="left" w:pos="720"/>
        </w:tabs>
        <w:spacing w:after="0" w:line="240" w:lineRule="auto"/>
        <w:ind w:left="0" w:firstLine="0"/>
        <w:jc w:val="both"/>
        <w:rPr>
          <w:rFonts w:eastAsia="Calibri"/>
          <w:color w:val="000000" w:themeColor="text1"/>
        </w:rPr>
      </w:pPr>
      <w:r w:rsidRPr="003E31E0">
        <w:rPr>
          <w:color w:val="000000" w:themeColor="text1"/>
        </w:rPr>
        <w:t>The validity, reliability and probability of full recovery from several Cash, Receivables, Prepayments, Other Current Assets and Other Assets accounts totaling of P865.967 million cannot be ascertained since 42.31 per cent or P366.398 million have been dormant for more than 10 to 26 years due to undocumented balances carried over from seven defunct tobacco agencies in 1987; unsettled loans of farmers/traders/cooperatives since 1996; receivables from officers and employees no longer in the service; and unrecovered investment in bonds; and</w:t>
      </w:r>
    </w:p>
    <w:p w:rsidR="00DF0F76" w:rsidRPr="003E31E0" w:rsidRDefault="00DF0F76" w:rsidP="00DF0F76">
      <w:pPr>
        <w:tabs>
          <w:tab w:val="left" w:pos="540"/>
          <w:tab w:val="left" w:pos="720"/>
        </w:tabs>
        <w:spacing w:after="0" w:line="240" w:lineRule="auto"/>
        <w:jc w:val="both"/>
        <w:rPr>
          <w:rFonts w:eastAsia="Calibri"/>
          <w:color w:val="000000" w:themeColor="text1"/>
        </w:rPr>
      </w:pPr>
    </w:p>
    <w:p w:rsidR="00DF0F76" w:rsidRPr="003E31E0" w:rsidRDefault="00DF0F76" w:rsidP="00DF0F76">
      <w:pPr>
        <w:numPr>
          <w:ilvl w:val="0"/>
          <w:numId w:val="6"/>
        </w:numPr>
        <w:tabs>
          <w:tab w:val="left" w:pos="540"/>
          <w:tab w:val="left" w:pos="720"/>
        </w:tabs>
        <w:spacing w:after="0" w:line="240" w:lineRule="auto"/>
        <w:ind w:left="0" w:firstLine="0"/>
        <w:jc w:val="both"/>
        <w:rPr>
          <w:rFonts w:eastAsia="Calibri"/>
          <w:color w:val="000000" w:themeColor="text1"/>
        </w:rPr>
      </w:pPr>
      <w:r w:rsidRPr="003E31E0">
        <w:rPr>
          <w:color w:val="000000" w:themeColor="text1"/>
        </w:rPr>
        <w:t>The accuracy and existence of Property, Plant and Equipment (PPE) with net book value of P487.766 million as of December 31, 2014 could not be ascertained due to failure to conduct physical inventory taking of its claimed parcels of land totaling P291.770 million per property record, uncorrected discrepancy between property and accounting records of P172.920 million, partially updated PPE Ledger Cards (PPELCs), and uncorrected prior years’ deficiencies in the transfer of title and ownership of claimed parcels of land</w:t>
      </w:r>
      <w:r w:rsidRPr="003E31E0">
        <w:rPr>
          <w:rFonts w:eastAsia="Calibri"/>
          <w:color w:val="000000" w:themeColor="text1"/>
        </w:rPr>
        <w:t>.</w:t>
      </w:r>
    </w:p>
    <w:p w:rsidR="00427E2B" w:rsidRPr="003E31E0" w:rsidRDefault="00427E2B" w:rsidP="00427E2B">
      <w:pPr>
        <w:spacing w:after="0" w:line="240" w:lineRule="auto"/>
        <w:jc w:val="both"/>
        <w:rPr>
          <w:color w:val="auto"/>
        </w:rPr>
      </w:pPr>
    </w:p>
    <w:p w:rsidR="005D1D0F" w:rsidRPr="003E31E0" w:rsidRDefault="005D1D0F" w:rsidP="00427E2B">
      <w:pPr>
        <w:spacing w:after="0" w:line="240" w:lineRule="auto"/>
        <w:jc w:val="both"/>
        <w:rPr>
          <w:color w:val="auto"/>
        </w:rPr>
      </w:pPr>
    </w:p>
    <w:p w:rsidR="00427E2B" w:rsidRPr="003E31E0" w:rsidRDefault="00427E2B" w:rsidP="00427E2B">
      <w:pPr>
        <w:spacing w:after="0" w:line="240" w:lineRule="auto"/>
        <w:jc w:val="both"/>
        <w:rPr>
          <w:b/>
          <w:color w:val="auto"/>
        </w:rPr>
      </w:pPr>
      <w:r w:rsidRPr="003E31E0">
        <w:rPr>
          <w:b/>
          <w:color w:val="auto"/>
        </w:rPr>
        <w:t>SUMMARY OF SIGNIFICANT AUDIT OBSERVATIONS AND RECOMMENDATIONS</w:t>
      </w:r>
    </w:p>
    <w:p w:rsidR="00427E2B" w:rsidRPr="003E31E0" w:rsidRDefault="00427E2B" w:rsidP="00427E2B">
      <w:pPr>
        <w:spacing w:after="0" w:line="240" w:lineRule="auto"/>
        <w:jc w:val="both"/>
        <w:rPr>
          <w:color w:val="auto"/>
        </w:rPr>
      </w:pPr>
    </w:p>
    <w:p w:rsidR="00DF0F76" w:rsidRPr="003E31E0" w:rsidRDefault="00427E2B" w:rsidP="00DF0F76">
      <w:pPr>
        <w:spacing w:after="0" w:line="240" w:lineRule="auto"/>
        <w:jc w:val="both"/>
        <w:rPr>
          <w:rFonts w:eastAsia="Calibri"/>
          <w:color w:val="000000" w:themeColor="text1"/>
        </w:rPr>
      </w:pPr>
      <w:r w:rsidRPr="003E31E0">
        <w:rPr>
          <w:color w:val="000000" w:themeColor="text1"/>
        </w:rPr>
        <w:t>For the above</w:t>
      </w:r>
      <w:r w:rsidR="00431F82" w:rsidRPr="003E31E0">
        <w:rPr>
          <w:color w:val="000000" w:themeColor="text1"/>
        </w:rPr>
        <w:t xml:space="preserve">-mentioned </w:t>
      </w:r>
      <w:r w:rsidRPr="003E31E0">
        <w:rPr>
          <w:color w:val="000000" w:themeColor="text1"/>
        </w:rPr>
        <w:t>observations which caused the</w:t>
      </w:r>
      <w:r w:rsidR="00431F82" w:rsidRPr="003E31E0">
        <w:rPr>
          <w:color w:val="000000" w:themeColor="text1"/>
        </w:rPr>
        <w:t xml:space="preserve"> issuance of a qualified opinion, we recommended </w:t>
      </w:r>
      <w:r w:rsidR="00EA10F9" w:rsidRPr="003E31E0">
        <w:rPr>
          <w:color w:val="000000" w:themeColor="text1"/>
        </w:rPr>
        <w:t>and</w:t>
      </w:r>
      <w:r w:rsidR="00431F82" w:rsidRPr="003E31E0">
        <w:rPr>
          <w:color w:val="000000" w:themeColor="text1"/>
        </w:rPr>
        <w:t xml:space="preserve"> Management</w:t>
      </w:r>
      <w:r w:rsidR="00EA10F9" w:rsidRPr="003E31E0">
        <w:rPr>
          <w:color w:val="000000" w:themeColor="text1"/>
        </w:rPr>
        <w:t xml:space="preserve"> agreed to</w:t>
      </w:r>
      <w:r w:rsidR="00DF0F76" w:rsidRPr="003E31E0">
        <w:rPr>
          <w:color w:val="000000" w:themeColor="text1"/>
        </w:rPr>
        <w:t xml:space="preserve">:  </w:t>
      </w:r>
    </w:p>
    <w:p w:rsidR="00DF0F76" w:rsidRPr="003E31E0" w:rsidRDefault="00DF0F76" w:rsidP="00DF0F76">
      <w:pPr>
        <w:tabs>
          <w:tab w:val="left" w:pos="720"/>
          <w:tab w:val="left" w:pos="1260"/>
          <w:tab w:val="left" w:pos="1890"/>
        </w:tabs>
        <w:spacing w:after="0"/>
        <w:jc w:val="both"/>
        <w:rPr>
          <w:color w:val="auto"/>
        </w:rPr>
      </w:pPr>
    </w:p>
    <w:p w:rsidR="00DF0F76" w:rsidRPr="003E31E0" w:rsidRDefault="00DF0F76" w:rsidP="00F07ABA">
      <w:pPr>
        <w:tabs>
          <w:tab w:val="left" w:pos="540"/>
        </w:tabs>
        <w:spacing w:after="0" w:line="240" w:lineRule="auto"/>
        <w:jc w:val="both"/>
        <w:rPr>
          <w:color w:val="auto"/>
        </w:rPr>
      </w:pPr>
      <w:r w:rsidRPr="003E31E0">
        <w:rPr>
          <w:color w:val="auto"/>
        </w:rPr>
        <w:t xml:space="preserve">1.  </w:t>
      </w:r>
      <w:r w:rsidRPr="003E31E0">
        <w:rPr>
          <w:color w:val="auto"/>
        </w:rPr>
        <w:tab/>
        <w:t>Instruct the Central/Regional Offices’ Accountants to:</w:t>
      </w:r>
      <w:r w:rsidR="00F07ABA" w:rsidRPr="003E31E0">
        <w:rPr>
          <w:color w:val="auto"/>
        </w:rPr>
        <w:t xml:space="preserve"> (</w:t>
      </w:r>
      <w:r w:rsidR="0059662C" w:rsidRPr="003E31E0">
        <w:rPr>
          <w:color w:val="auto"/>
        </w:rPr>
        <w:t>i</w:t>
      </w:r>
      <w:r w:rsidR="00F07ABA" w:rsidRPr="003E31E0">
        <w:rPr>
          <w:color w:val="auto"/>
        </w:rPr>
        <w:t>)</w:t>
      </w:r>
      <w:r w:rsidRPr="003E31E0">
        <w:rPr>
          <w:color w:val="auto"/>
        </w:rPr>
        <w:t xml:space="preserve">  </w:t>
      </w:r>
      <w:r w:rsidR="00F07ABA" w:rsidRPr="003E31E0">
        <w:rPr>
          <w:color w:val="auto"/>
        </w:rPr>
        <w:t>s</w:t>
      </w:r>
      <w:r w:rsidRPr="003E31E0">
        <w:rPr>
          <w:color w:val="auto"/>
        </w:rPr>
        <w:t xml:space="preserve">et time frame in complying with the documentation of dormant accounts to support the request for write off from the Commission on Audit, in accordance with existing guidelines; </w:t>
      </w:r>
      <w:r w:rsidR="00F07ABA" w:rsidRPr="003E31E0">
        <w:rPr>
          <w:color w:val="auto"/>
        </w:rPr>
        <w:t>(</w:t>
      </w:r>
      <w:r w:rsidR="0059662C" w:rsidRPr="003E31E0">
        <w:rPr>
          <w:color w:val="auto"/>
        </w:rPr>
        <w:t>ii</w:t>
      </w:r>
      <w:r w:rsidR="00F07ABA" w:rsidRPr="003E31E0">
        <w:rPr>
          <w:color w:val="auto"/>
        </w:rPr>
        <w:t>)</w:t>
      </w:r>
      <w:r w:rsidRPr="003E31E0">
        <w:rPr>
          <w:color w:val="auto"/>
        </w:rPr>
        <w:t xml:space="preserve"> </w:t>
      </w:r>
      <w:r w:rsidR="00F07ABA" w:rsidRPr="003E31E0">
        <w:rPr>
          <w:color w:val="auto"/>
        </w:rPr>
        <w:t xml:space="preserve"> a</w:t>
      </w:r>
      <w:r w:rsidRPr="003E31E0">
        <w:rPr>
          <w:color w:val="auto"/>
        </w:rPr>
        <w:t>nalyze</w:t>
      </w:r>
      <w:r w:rsidR="00F07ABA" w:rsidRPr="003E31E0">
        <w:rPr>
          <w:color w:val="auto"/>
        </w:rPr>
        <w:t xml:space="preserve"> </w:t>
      </w:r>
      <w:r w:rsidRPr="003E31E0">
        <w:rPr>
          <w:color w:val="auto"/>
        </w:rPr>
        <w:t xml:space="preserve"> all receivable accounts pertaining to officers and employees to establish their correct balances, thereafter send demand letters for the immediate settlement of their obligations, otherwise, deduct from whatever cash/benefits due them; and</w:t>
      </w:r>
      <w:r w:rsidR="00F07ABA" w:rsidRPr="003E31E0">
        <w:rPr>
          <w:color w:val="auto"/>
        </w:rPr>
        <w:t xml:space="preserve"> (</w:t>
      </w:r>
      <w:r w:rsidR="0059662C" w:rsidRPr="003E31E0">
        <w:rPr>
          <w:color w:val="auto"/>
        </w:rPr>
        <w:t>iii</w:t>
      </w:r>
      <w:r w:rsidR="00F07ABA" w:rsidRPr="003E31E0">
        <w:rPr>
          <w:color w:val="auto"/>
        </w:rPr>
        <w:t>) a</w:t>
      </w:r>
      <w:r w:rsidRPr="003E31E0">
        <w:rPr>
          <w:color w:val="auto"/>
        </w:rPr>
        <w:t>nalyze  the Prepayment and Other Current Assets accounts to determine accounts affected to serve as basis in preparing adjustments to close</w:t>
      </w:r>
      <w:r w:rsidR="00F07ABA" w:rsidRPr="003E31E0">
        <w:rPr>
          <w:color w:val="auto"/>
        </w:rPr>
        <w:t xml:space="preserve"> the accounts;</w:t>
      </w:r>
    </w:p>
    <w:p w:rsidR="00DF0F76" w:rsidRPr="003E31E0" w:rsidRDefault="00DF0F76" w:rsidP="00F07ABA">
      <w:pPr>
        <w:pStyle w:val="ListParagraph"/>
        <w:tabs>
          <w:tab w:val="left" w:pos="1080"/>
          <w:tab w:val="left" w:pos="2520"/>
        </w:tabs>
        <w:spacing w:after="0" w:afterAutospacing="0"/>
        <w:ind w:left="540"/>
        <w:contextualSpacing w:val="0"/>
        <w:jc w:val="both"/>
        <w:rPr>
          <w:rFonts w:ascii="Arial" w:hAnsi="Arial" w:cs="Arial"/>
        </w:rPr>
      </w:pPr>
    </w:p>
    <w:p w:rsidR="00DF0F76" w:rsidRPr="003E31E0" w:rsidRDefault="00DF0F76" w:rsidP="00F07ABA">
      <w:pPr>
        <w:tabs>
          <w:tab w:val="left" w:pos="0"/>
          <w:tab w:val="left" w:pos="540"/>
          <w:tab w:val="left" w:pos="1260"/>
          <w:tab w:val="left" w:pos="1890"/>
        </w:tabs>
        <w:spacing w:after="0" w:line="240" w:lineRule="auto"/>
        <w:jc w:val="both"/>
        <w:rPr>
          <w:color w:val="auto"/>
        </w:rPr>
      </w:pPr>
      <w:r w:rsidRPr="003E31E0">
        <w:rPr>
          <w:color w:val="auto"/>
        </w:rPr>
        <w:t>2.</w:t>
      </w:r>
      <w:r w:rsidRPr="003E31E0">
        <w:rPr>
          <w:color w:val="auto"/>
        </w:rPr>
        <w:tab/>
        <w:t>Instruct the Legal Officer to:</w:t>
      </w:r>
      <w:r w:rsidR="00F07ABA" w:rsidRPr="003E31E0">
        <w:rPr>
          <w:color w:val="auto"/>
        </w:rPr>
        <w:t xml:space="preserve"> (</w:t>
      </w:r>
      <w:r w:rsidR="0059662C" w:rsidRPr="003E31E0">
        <w:rPr>
          <w:color w:val="auto"/>
        </w:rPr>
        <w:t>i</w:t>
      </w:r>
      <w:r w:rsidR="00F07ABA" w:rsidRPr="003E31E0">
        <w:rPr>
          <w:color w:val="auto"/>
        </w:rPr>
        <w:t>)</w:t>
      </w:r>
      <w:r w:rsidRPr="003E31E0">
        <w:rPr>
          <w:color w:val="auto"/>
        </w:rPr>
        <w:t xml:space="preserve">  </w:t>
      </w:r>
      <w:r w:rsidR="00F07ABA" w:rsidRPr="003E31E0">
        <w:rPr>
          <w:color w:val="auto"/>
        </w:rPr>
        <w:t>m</w:t>
      </w:r>
      <w:r w:rsidRPr="003E31E0">
        <w:rPr>
          <w:color w:val="auto"/>
        </w:rPr>
        <w:t>ake representations with L</w:t>
      </w:r>
      <w:r w:rsidR="00F07ABA" w:rsidRPr="003E31E0">
        <w:rPr>
          <w:color w:val="auto"/>
        </w:rPr>
        <w:t xml:space="preserve">and </w:t>
      </w:r>
      <w:r w:rsidRPr="003E31E0">
        <w:rPr>
          <w:color w:val="auto"/>
        </w:rPr>
        <w:t>B</w:t>
      </w:r>
      <w:r w:rsidR="00F07ABA" w:rsidRPr="003E31E0">
        <w:rPr>
          <w:color w:val="auto"/>
        </w:rPr>
        <w:t xml:space="preserve">ank of the </w:t>
      </w:r>
      <w:r w:rsidRPr="003E31E0">
        <w:rPr>
          <w:color w:val="auto"/>
        </w:rPr>
        <w:t>P</w:t>
      </w:r>
      <w:r w:rsidR="00F07ABA" w:rsidRPr="003E31E0">
        <w:rPr>
          <w:color w:val="auto"/>
        </w:rPr>
        <w:t>hilippines (LBP)</w:t>
      </w:r>
      <w:r w:rsidRPr="003E31E0">
        <w:rPr>
          <w:color w:val="auto"/>
        </w:rPr>
        <w:t xml:space="preserve"> Head Office on the possible redemption of the bonds amounting to P28.634 million, and the results of which shall be the basis for succeeding action to be undertaken; and</w:t>
      </w:r>
      <w:r w:rsidR="00F07ABA" w:rsidRPr="003E31E0">
        <w:rPr>
          <w:color w:val="auto"/>
        </w:rPr>
        <w:t xml:space="preserve"> (</w:t>
      </w:r>
      <w:r w:rsidR="0059662C" w:rsidRPr="003E31E0">
        <w:rPr>
          <w:color w:val="auto"/>
        </w:rPr>
        <w:t>ii</w:t>
      </w:r>
      <w:r w:rsidR="00F07ABA" w:rsidRPr="003E31E0">
        <w:rPr>
          <w:color w:val="auto"/>
        </w:rPr>
        <w:t>) e</w:t>
      </w:r>
      <w:r w:rsidRPr="003E31E0">
        <w:rPr>
          <w:color w:val="auto"/>
        </w:rPr>
        <w:t xml:space="preserve">xert all legal remedies for the rescission of the Certificates of Award and for the reconveyance of the pertinent lots located in Tuguegarao, Cagayan to </w:t>
      </w:r>
      <w:r w:rsidRPr="003E31E0">
        <w:rPr>
          <w:color w:val="auto"/>
        </w:rPr>
        <w:lastRenderedPageBreak/>
        <w:t>the government pursuant to Resolution No. 258-2012 dated April 12, 2012 of the NTA Governing Board, if the awardees and/or the occupants/possessors/successors of the 20 unpaid lots do not agree to settle in full the cost with inc</w:t>
      </w:r>
      <w:r w:rsidR="00F07ABA" w:rsidRPr="003E31E0">
        <w:rPr>
          <w:color w:val="auto"/>
        </w:rPr>
        <w:t>rements for the unpaid lots;</w:t>
      </w:r>
    </w:p>
    <w:p w:rsidR="00DF0F76" w:rsidRPr="003E31E0" w:rsidRDefault="00DF0F76" w:rsidP="00DF0F76">
      <w:pPr>
        <w:pStyle w:val="ListParagraph"/>
        <w:tabs>
          <w:tab w:val="left" w:pos="720"/>
          <w:tab w:val="left" w:pos="1260"/>
          <w:tab w:val="left" w:pos="1800"/>
          <w:tab w:val="left" w:pos="2520"/>
        </w:tabs>
        <w:spacing w:after="0" w:afterAutospacing="0"/>
        <w:ind w:left="1260"/>
        <w:contextualSpacing w:val="0"/>
        <w:jc w:val="both"/>
        <w:rPr>
          <w:rFonts w:ascii="Arial" w:hAnsi="Arial" w:cs="Arial"/>
        </w:rPr>
      </w:pPr>
    </w:p>
    <w:p w:rsidR="00DF0F76" w:rsidRPr="003E31E0" w:rsidRDefault="002F0E05" w:rsidP="002F0E05">
      <w:pPr>
        <w:pStyle w:val="ListParagraph"/>
        <w:tabs>
          <w:tab w:val="left" w:pos="0"/>
          <w:tab w:val="left" w:pos="540"/>
          <w:tab w:val="left" w:pos="1260"/>
        </w:tabs>
        <w:spacing w:after="0" w:afterAutospacing="0"/>
        <w:ind w:left="0"/>
        <w:contextualSpacing w:val="0"/>
        <w:jc w:val="both"/>
        <w:rPr>
          <w:rFonts w:ascii="Arial" w:hAnsi="Arial" w:cs="Arial"/>
        </w:rPr>
      </w:pPr>
      <w:r w:rsidRPr="003E31E0">
        <w:rPr>
          <w:rFonts w:ascii="Arial" w:hAnsi="Arial" w:cs="Arial"/>
        </w:rPr>
        <w:t>3.</w:t>
      </w:r>
      <w:r w:rsidRPr="003E31E0">
        <w:rPr>
          <w:rFonts w:ascii="Arial" w:hAnsi="Arial" w:cs="Arial"/>
        </w:rPr>
        <w:tab/>
      </w:r>
      <w:r w:rsidR="00F07ABA" w:rsidRPr="003E31E0">
        <w:rPr>
          <w:rFonts w:ascii="Arial" w:hAnsi="Arial" w:cs="Arial"/>
        </w:rPr>
        <w:t>Instruct the c</w:t>
      </w:r>
      <w:r w:rsidR="00DF0F76" w:rsidRPr="003E31E0">
        <w:rPr>
          <w:rFonts w:ascii="Arial" w:hAnsi="Arial" w:cs="Arial"/>
        </w:rPr>
        <w:t xml:space="preserve">oncerned Branch Managers of Vigan, Batac and Candon to make representations with the </w:t>
      </w:r>
      <w:r w:rsidR="0059662C" w:rsidRPr="003E31E0">
        <w:rPr>
          <w:rFonts w:ascii="Arial" w:hAnsi="Arial" w:cs="Arial"/>
        </w:rPr>
        <w:t>Department of Environment and Natural Resources (</w:t>
      </w:r>
      <w:r w:rsidR="00DF0F76" w:rsidRPr="003E31E0">
        <w:rPr>
          <w:rFonts w:ascii="Arial" w:hAnsi="Arial" w:cs="Arial"/>
        </w:rPr>
        <w:t>DENR</w:t>
      </w:r>
      <w:r w:rsidR="0059662C" w:rsidRPr="003E31E0">
        <w:rPr>
          <w:rFonts w:ascii="Arial" w:hAnsi="Arial" w:cs="Arial"/>
        </w:rPr>
        <w:t>)</w:t>
      </w:r>
      <w:r w:rsidR="00DF0F76" w:rsidRPr="003E31E0">
        <w:rPr>
          <w:rFonts w:ascii="Arial" w:hAnsi="Arial" w:cs="Arial"/>
        </w:rPr>
        <w:t xml:space="preserve"> for the possible transfer of the reforestation project sites to the local government units so as to preserve the area</w:t>
      </w:r>
      <w:r w:rsidR="00D24FFD" w:rsidRPr="003E31E0">
        <w:rPr>
          <w:rFonts w:ascii="Arial" w:hAnsi="Arial" w:cs="Arial"/>
        </w:rPr>
        <w:t>;</w:t>
      </w:r>
    </w:p>
    <w:p w:rsidR="00EA10F9" w:rsidRPr="003E31E0" w:rsidRDefault="00EA10F9" w:rsidP="00EA10F9">
      <w:pPr>
        <w:tabs>
          <w:tab w:val="left" w:pos="540"/>
          <w:tab w:val="left" w:pos="1260"/>
          <w:tab w:val="left" w:pos="1980"/>
          <w:tab w:val="left" w:pos="2700"/>
        </w:tabs>
        <w:spacing w:after="0" w:line="240" w:lineRule="auto"/>
        <w:jc w:val="both"/>
        <w:rPr>
          <w:color w:val="auto"/>
        </w:rPr>
      </w:pPr>
    </w:p>
    <w:p w:rsidR="002143BE" w:rsidRPr="003E31E0" w:rsidRDefault="00EA10F9" w:rsidP="00EA10F9">
      <w:pPr>
        <w:tabs>
          <w:tab w:val="left" w:pos="540"/>
          <w:tab w:val="left" w:pos="1260"/>
          <w:tab w:val="left" w:pos="1980"/>
          <w:tab w:val="left" w:pos="2700"/>
        </w:tabs>
        <w:spacing w:after="0" w:line="240" w:lineRule="auto"/>
        <w:jc w:val="both"/>
        <w:rPr>
          <w:color w:val="auto"/>
        </w:rPr>
      </w:pPr>
      <w:r w:rsidRPr="003E31E0">
        <w:rPr>
          <w:color w:val="auto"/>
        </w:rPr>
        <w:t>4.</w:t>
      </w:r>
      <w:r w:rsidRPr="003E31E0">
        <w:rPr>
          <w:color w:val="auto"/>
        </w:rPr>
        <w:tab/>
      </w:r>
      <w:r w:rsidR="002143BE" w:rsidRPr="003E31E0">
        <w:rPr>
          <w:color w:val="auto"/>
        </w:rPr>
        <w:t>Commit and submit time frame within which to create a committee which will be responsible to perform the following activities within a specified time: (i) conduct physical count of immovable properties and prepare and submit to the Audit Team  the consolidated R</w:t>
      </w:r>
      <w:r w:rsidR="0059662C" w:rsidRPr="003E31E0">
        <w:rPr>
          <w:color w:val="auto"/>
        </w:rPr>
        <w:t xml:space="preserve">eport on the </w:t>
      </w:r>
      <w:r w:rsidR="002143BE" w:rsidRPr="003E31E0">
        <w:rPr>
          <w:color w:val="auto"/>
        </w:rPr>
        <w:t>P</w:t>
      </w:r>
      <w:r w:rsidR="0059662C" w:rsidRPr="003E31E0">
        <w:rPr>
          <w:color w:val="auto"/>
        </w:rPr>
        <w:t xml:space="preserve">hysical </w:t>
      </w:r>
      <w:r w:rsidR="002143BE" w:rsidRPr="003E31E0">
        <w:rPr>
          <w:color w:val="auto"/>
        </w:rPr>
        <w:t>C</w:t>
      </w:r>
      <w:r w:rsidR="0059662C" w:rsidRPr="003E31E0">
        <w:rPr>
          <w:color w:val="auto"/>
        </w:rPr>
        <w:t xml:space="preserve">ount of </w:t>
      </w:r>
      <w:r w:rsidR="002143BE" w:rsidRPr="003E31E0">
        <w:rPr>
          <w:color w:val="auto"/>
        </w:rPr>
        <w:t>PPE</w:t>
      </w:r>
      <w:r w:rsidR="0059662C" w:rsidRPr="003E31E0">
        <w:rPr>
          <w:color w:val="auto"/>
        </w:rPr>
        <w:t xml:space="preserve"> (RPCPPE)</w:t>
      </w:r>
      <w:r w:rsidR="002143BE" w:rsidRPr="003E31E0">
        <w:rPr>
          <w:color w:val="auto"/>
        </w:rPr>
        <w:t>, (ii) validate status of all parcels of land claimed by NTA with the Registry of Deeds or request for survey with the Office of the Geodetic Engineers of the DENR, (iii) work</w:t>
      </w:r>
      <w:r w:rsidR="00E25C50" w:rsidRPr="003E31E0">
        <w:rPr>
          <w:color w:val="auto"/>
        </w:rPr>
        <w:t xml:space="preserve"> </w:t>
      </w:r>
      <w:r w:rsidR="002143BE" w:rsidRPr="003E31E0">
        <w:rPr>
          <w:color w:val="auto"/>
        </w:rPr>
        <w:t>out for the consolidation of T</w:t>
      </w:r>
      <w:r w:rsidR="0059662C" w:rsidRPr="003E31E0">
        <w:rPr>
          <w:color w:val="auto"/>
        </w:rPr>
        <w:t xml:space="preserve">ransfer </w:t>
      </w:r>
      <w:r w:rsidR="002143BE" w:rsidRPr="003E31E0">
        <w:rPr>
          <w:color w:val="auto"/>
        </w:rPr>
        <w:t>C</w:t>
      </w:r>
      <w:r w:rsidR="0059662C" w:rsidRPr="003E31E0">
        <w:rPr>
          <w:color w:val="auto"/>
        </w:rPr>
        <w:t xml:space="preserve">ertificates of </w:t>
      </w:r>
      <w:r w:rsidR="002143BE" w:rsidRPr="003E31E0">
        <w:rPr>
          <w:color w:val="auto"/>
        </w:rPr>
        <w:t>T</w:t>
      </w:r>
      <w:r w:rsidR="0059662C" w:rsidRPr="003E31E0">
        <w:rPr>
          <w:color w:val="auto"/>
        </w:rPr>
        <w:t>itle (TCTs)</w:t>
      </w:r>
      <w:r w:rsidR="002143BE" w:rsidRPr="003E31E0">
        <w:rPr>
          <w:color w:val="auto"/>
        </w:rPr>
        <w:t xml:space="preserve"> under the name of NTA of the parcels of land still registered under the names of </w:t>
      </w:r>
      <w:r w:rsidR="00E25C50" w:rsidRPr="003E31E0">
        <w:rPr>
          <w:color w:val="auto"/>
        </w:rPr>
        <w:t>Philippine Tobacco Administration (</w:t>
      </w:r>
      <w:r w:rsidR="002143BE" w:rsidRPr="003E31E0">
        <w:rPr>
          <w:color w:val="auto"/>
        </w:rPr>
        <w:t>PTA</w:t>
      </w:r>
      <w:r w:rsidR="00E25C50" w:rsidRPr="003E31E0">
        <w:rPr>
          <w:color w:val="auto"/>
        </w:rPr>
        <w:t>)</w:t>
      </w:r>
      <w:r w:rsidR="002143BE" w:rsidRPr="003E31E0">
        <w:rPr>
          <w:color w:val="auto"/>
        </w:rPr>
        <w:t xml:space="preserve">, </w:t>
      </w:r>
      <w:r w:rsidR="00E25C50" w:rsidRPr="003E31E0">
        <w:rPr>
          <w:color w:val="auto"/>
        </w:rPr>
        <w:t>Philippine Tobacco Research and Training Center (</w:t>
      </w:r>
      <w:r w:rsidR="002143BE" w:rsidRPr="003E31E0">
        <w:rPr>
          <w:color w:val="auto"/>
        </w:rPr>
        <w:t>PTRTC</w:t>
      </w:r>
      <w:r w:rsidR="00E25C50" w:rsidRPr="003E31E0">
        <w:rPr>
          <w:color w:val="auto"/>
        </w:rPr>
        <w:t>)</w:t>
      </w:r>
      <w:r w:rsidR="002143BE" w:rsidRPr="003E31E0">
        <w:rPr>
          <w:color w:val="auto"/>
        </w:rPr>
        <w:t xml:space="preserve"> and private companies/individuals, (iv) work out for the change of Tax Declarations of the parcels of land with the Assessor’s Office of local government units to facilitate recording in the books;  and</w:t>
      </w:r>
    </w:p>
    <w:p w:rsidR="002143BE" w:rsidRPr="003E31E0" w:rsidRDefault="002143BE" w:rsidP="00EA10F9">
      <w:pPr>
        <w:pStyle w:val="ListParagraph"/>
        <w:tabs>
          <w:tab w:val="left" w:pos="720"/>
          <w:tab w:val="left" w:pos="1260"/>
          <w:tab w:val="left" w:pos="1980"/>
          <w:tab w:val="left" w:pos="2700"/>
        </w:tabs>
        <w:spacing w:after="0" w:afterAutospacing="0"/>
        <w:jc w:val="both"/>
        <w:rPr>
          <w:rFonts w:ascii="Arial" w:hAnsi="Arial" w:cs="Arial"/>
        </w:rPr>
      </w:pPr>
    </w:p>
    <w:p w:rsidR="002143BE" w:rsidRPr="003E31E0" w:rsidRDefault="00EA10F9" w:rsidP="00EA10F9">
      <w:pPr>
        <w:tabs>
          <w:tab w:val="left" w:pos="540"/>
          <w:tab w:val="left" w:pos="1260"/>
          <w:tab w:val="left" w:pos="1980"/>
          <w:tab w:val="left" w:pos="2700"/>
        </w:tabs>
        <w:spacing w:after="0" w:line="240" w:lineRule="auto"/>
        <w:jc w:val="both"/>
        <w:rPr>
          <w:color w:val="auto"/>
        </w:rPr>
      </w:pPr>
      <w:r w:rsidRPr="003E31E0">
        <w:rPr>
          <w:color w:val="auto"/>
        </w:rPr>
        <w:t>5.</w:t>
      </w:r>
      <w:r w:rsidRPr="003E31E0">
        <w:rPr>
          <w:color w:val="auto"/>
        </w:rPr>
        <w:tab/>
      </w:r>
      <w:r w:rsidR="002143BE" w:rsidRPr="003E31E0">
        <w:rPr>
          <w:color w:val="auto"/>
        </w:rPr>
        <w:t>Require the concerned Accountants and Property Officers to complete the reconciliation of their respective accounting and property records within specified period, and effect adjustments where appropriate.</w:t>
      </w:r>
    </w:p>
    <w:p w:rsidR="00DF0F76" w:rsidRPr="003E31E0" w:rsidRDefault="00DF0F76" w:rsidP="000E0B6F">
      <w:pPr>
        <w:pStyle w:val="ListParagraph"/>
        <w:spacing w:after="0" w:afterAutospacing="0"/>
        <w:ind w:left="0"/>
        <w:contextualSpacing w:val="0"/>
        <w:jc w:val="both"/>
        <w:rPr>
          <w:rFonts w:ascii="Arial" w:hAnsi="Arial" w:cs="Arial"/>
        </w:rPr>
      </w:pPr>
    </w:p>
    <w:p w:rsidR="000E0B6F" w:rsidRPr="003E31E0" w:rsidRDefault="000E0B6F" w:rsidP="000E0B6F">
      <w:pPr>
        <w:pStyle w:val="ListParagraph"/>
        <w:spacing w:after="0" w:afterAutospacing="0"/>
        <w:ind w:left="0"/>
        <w:contextualSpacing w:val="0"/>
        <w:jc w:val="both"/>
        <w:rPr>
          <w:rFonts w:ascii="Arial" w:hAnsi="Arial" w:cs="Arial"/>
        </w:rPr>
      </w:pPr>
      <w:r w:rsidRPr="003E31E0">
        <w:rPr>
          <w:rFonts w:ascii="Arial" w:hAnsi="Arial" w:cs="Arial"/>
        </w:rPr>
        <w:t>The other significant audit observations and recommendations are as follows:</w:t>
      </w:r>
    </w:p>
    <w:p w:rsidR="000E0B6F" w:rsidRPr="003E31E0" w:rsidRDefault="000E0B6F" w:rsidP="000E0B6F">
      <w:pPr>
        <w:pStyle w:val="ListParagraph"/>
        <w:spacing w:after="0" w:afterAutospacing="0"/>
        <w:ind w:left="0"/>
        <w:contextualSpacing w:val="0"/>
        <w:jc w:val="both"/>
        <w:rPr>
          <w:rFonts w:ascii="Arial" w:hAnsi="Arial" w:cs="Arial"/>
        </w:rPr>
      </w:pPr>
    </w:p>
    <w:p w:rsidR="006C1BE5" w:rsidRPr="003E31E0" w:rsidRDefault="006C1BE5" w:rsidP="006C1BE5">
      <w:pPr>
        <w:tabs>
          <w:tab w:val="left" w:pos="540"/>
        </w:tabs>
        <w:spacing w:after="0" w:line="240" w:lineRule="auto"/>
        <w:jc w:val="both"/>
        <w:rPr>
          <w:color w:val="auto"/>
        </w:rPr>
      </w:pPr>
      <w:r w:rsidRPr="003E31E0">
        <w:rPr>
          <w:color w:val="auto"/>
        </w:rPr>
        <w:t>6.</w:t>
      </w:r>
      <w:r w:rsidRPr="003E31E0">
        <w:rPr>
          <w:color w:val="auto"/>
        </w:rPr>
        <w:tab/>
        <w:t xml:space="preserve">The inability to act speedily on the restructuring agreement offered by the Philippine </w:t>
      </w:r>
      <w:r w:rsidR="00BC0D52">
        <w:rPr>
          <w:color w:val="auto"/>
        </w:rPr>
        <w:t>Deposit</w:t>
      </w:r>
      <w:r w:rsidR="006138CA">
        <w:rPr>
          <w:color w:val="auto"/>
        </w:rPr>
        <w:t xml:space="preserve"> Insurance</w:t>
      </w:r>
      <w:r w:rsidRPr="003E31E0">
        <w:rPr>
          <w:color w:val="auto"/>
        </w:rPr>
        <w:t xml:space="preserve"> Corporation (PDIC) for the </w:t>
      </w:r>
      <w:r w:rsidRPr="003E31E0">
        <w:rPr>
          <w:i/>
          <w:color w:val="auto"/>
        </w:rPr>
        <w:t>dacion</w:t>
      </w:r>
      <w:r w:rsidRPr="003E31E0">
        <w:rPr>
          <w:color w:val="auto"/>
        </w:rPr>
        <w:t xml:space="preserve"> agreement may put NTA into paying huge accumulated interest and penalty charges which already reached P191.784 million as of year-end, thus, could deplete its financial resources. </w:t>
      </w:r>
    </w:p>
    <w:p w:rsidR="001E7F7E" w:rsidRPr="003E31E0" w:rsidRDefault="001E7F7E" w:rsidP="00BA11E1">
      <w:pPr>
        <w:pStyle w:val="ListParagraph"/>
        <w:tabs>
          <w:tab w:val="left" w:pos="540"/>
        </w:tabs>
        <w:spacing w:after="0" w:afterAutospacing="0"/>
        <w:ind w:left="0"/>
        <w:contextualSpacing w:val="0"/>
        <w:jc w:val="both"/>
        <w:rPr>
          <w:rFonts w:ascii="Arial" w:hAnsi="Arial" w:cs="Arial"/>
        </w:rPr>
      </w:pPr>
    </w:p>
    <w:p w:rsidR="00BA11E1" w:rsidRPr="003E31E0" w:rsidRDefault="00BA11E1" w:rsidP="00BA11E1">
      <w:pPr>
        <w:pStyle w:val="ListParagraph"/>
        <w:tabs>
          <w:tab w:val="left" w:pos="540"/>
          <w:tab w:val="left" w:pos="720"/>
          <w:tab w:val="left" w:pos="1890"/>
        </w:tabs>
        <w:spacing w:after="0" w:afterAutospacing="0"/>
        <w:ind w:left="0"/>
        <w:jc w:val="both"/>
        <w:rPr>
          <w:rFonts w:ascii="Arial" w:hAnsi="Arial" w:cs="Arial"/>
        </w:rPr>
      </w:pPr>
      <w:r w:rsidRPr="003E31E0">
        <w:rPr>
          <w:rFonts w:ascii="Arial" w:hAnsi="Arial" w:cs="Arial"/>
        </w:rPr>
        <w:t>6.1</w:t>
      </w:r>
      <w:r w:rsidRPr="003E31E0">
        <w:rPr>
          <w:rFonts w:ascii="Arial" w:hAnsi="Arial" w:cs="Arial"/>
        </w:rPr>
        <w:tab/>
        <w:t xml:space="preserve">We recommended that Management conserve the meager resources by acting expeditiously in exploring all possible options to settle the liability to PDIC, which includes the request for possible waiver of penalty charges. </w:t>
      </w:r>
    </w:p>
    <w:p w:rsidR="00BA11E1" w:rsidRPr="003E31E0" w:rsidRDefault="00BA11E1" w:rsidP="00BA11E1">
      <w:pPr>
        <w:pStyle w:val="ListParagraph"/>
        <w:tabs>
          <w:tab w:val="left" w:pos="540"/>
          <w:tab w:val="left" w:pos="720"/>
          <w:tab w:val="left" w:pos="1890"/>
        </w:tabs>
        <w:spacing w:after="0" w:afterAutospacing="0"/>
        <w:ind w:left="0"/>
        <w:jc w:val="both"/>
        <w:rPr>
          <w:rFonts w:ascii="Arial" w:hAnsi="Arial" w:cs="Arial"/>
        </w:rPr>
      </w:pPr>
    </w:p>
    <w:p w:rsidR="00BA11E1" w:rsidRPr="003E31E0" w:rsidRDefault="00BA11E1" w:rsidP="00BA11E1">
      <w:pPr>
        <w:tabs>
          <w:tab w:val="left" w:pos="540"/>
        </w:tabs>
        <w:spacing w:after="0" w:line="240" w:lineRule="auto"/>
        <w:jc w:val="both"/>
        <w:rPr>
          <w:rFonts w:eastAsia="Calibri"/>
        </w:rPr>
      </w:pPr>
      <w:r w:rsidRPr="003E31E0">
        <w:rPr>
          <w:color w:val="auto"/>
        </w:rPr>
        <w:t>7</w:t>
      </w:r>
      <w:r w:rsidRPr="003E31E0">
        <w:t>.</w:t>
      </w:r>
      <w:r w:rsidRPr="003E31E0">
        <w:tab/>
      </w:r>
      <w:r w:rsidRPr="003E31E0">
        <w:rPr>
          <w:color w:val="auto"/>
        </w:rPr>
        <w:t>In the absence of control records, actual expenditures had exceeded the approved budget in 2012 and 2013,  and for 2014, certain expenditures under Maintenance and Other Operating Expenses (MOOE) again exceeded the approved Corporate Operating Budget (COB) by P5.403 million, thus contrary to existing guidelines set by the Department of Budget and Management (DBM).</w:t>
      </w:r>
    </w:p>
    <w:p w:rsidR="00BA11E1" w:rsidRPr="003E31E0" w:rsidRDefault="00BA11E1" w:rsidP="00BA11E1">
      <w:pPr>
        <w:pStyle w:val="ListParagraph"/>
        <w:tabs>
          <w:tab w:val="left" w:pos="540"/>
          <w:tab w:val="left" w:pos="720"/>
          <w:tab w:val="left" w:pos="1890"/>
        </w:tabs>
        <w:spacing w:after="0" w:afterAutospacing="0"/>
        <w:ind w:left="0"/>
        <w:jc w:val="both"/>
        <w:rPr>
          <w:rFonts w:ascii="Arial" w:hAnsi="Arial" w:cs="Arial"/>
          <w:b/>
        </w:rPr>
      </w:pPr>
    </w:p>
    <w:p w:rsidR="00BA11E1" w:rsidRPr="003E31E0" w:rsidRDefault="00BA11E1" w:rsidP="00BA11E1">
      <w:pPr>
        <w:tabs>
          <w:tab w:val="left" w:pos="540"/>
          <w:tab w:val="left" w:pos="1890"/>
        </w:tabs>
        <w:spacing w:after="0" w:line="240" w:lineRule="auto"/>
        <w:jc w:val="both"/>
        <w:rPr>
          <w:rFonts w:eastAsia="Calibri"/>
          <w:color w:val="auto"/>
        </w:rPr>
      </w:pPr>
      <w:r w:rsidRPr="003E31E0">
        <w:rPr>
          <w:rFonts w:eastAsia="Calibri"/>
          <w:color w:val="auto"/>
        </w:rPr>
        <w:t>7.1</w:t>
      </w:r>
      <w:r w:rsidRPr="003E31E0">
        <w:rPr>
          <w:rFonts w:eastAsia="Calibri"/>
          <w:color w:val="auto"/>
        </w:rPr>
        <w:tab/>
        <w:t xml:space="preserve">We recommended and Management agreed to: </w:t>
      </w:r>
    </w:p>
    <w:p w:rsidR="00BA11E1" w:rsidRPr="003E31E0" w:rsidRDefault="00BA11E1" w:rsidP="00BA11E1">
      <w:pPr>
        <w:tabs>
          <w:tab w:val="left" w:pos="540"/>
          <w:tab w:val="left" w:pos="1890"/>
        </w:tabs>
        <w:spacing w:after="0" w:line="240" w:lineRule="auto"/>
        <w:jc w:val="both"/>
        <w:rPr>
          <w:rFonts w:eastAsia="Calibri"/>
          <w:color w:val="auto"/>
        </w:rPr>
      </w:pPr>
    </w:p>
    <w:p w:rsidR="00BA11E1" w:rsidRPr="003E31E0" w:rsidRDefault="00BA11E1" w:rsidP="00BA11E1">
      <w:pPr>
        <w:pStyle w:val="ListParagraph"/>
        <w:numPr>
          <w:ilvl w:val="0"/>
          <w:numId w:val="9"/>
        </w:numPr>
        <w:tabs>
          <w:tab w:val="left" w:pos="540"/>
          <w:tab w:val="left" w:pos="900"/>
          <w:tab w:val="left" w:pos="1260"/>
          <w:tab w:val="left" w:pos="2700"/>
        </w:tabs>
        <w:ind w:left="540" w:firstLine="0"/>
        <w:jc w:val="both"/>
        <w:rPr>
          <w:rFonts w:ascii="Arial" w:hAnsi="Arial" w:cs="Arial"/>
        </w:rPr>
      </w:pPr>
      <w:r w:rsidRPr="003E31E0">
        <w:rPr>
          <w:rFonts w:ascii="Arial" w:hAnsi="Arial" w:cs="Arial"/>
        </w:rPr>
        <w:t>Instruct the Budget Division, in coordination with the Accounting Division, to prepare a report/statement of approved budget, utilizations, disbursements and balances for monitoring and control purposes; and</w:t>
      </w:r>
    </w:p>
    <w:p w:rsidR="00BA11E1" w:rsidRPr="003E31E0" w:rsidRDefault="00BA11E1" w:rsidP="00BA11E1">
      <w:pPr>
        <w:pStyle w:val="ListParagraph"/>
        <w:tabs>
          <w:tab w:val="left" w:pos="540"/>
          <w:tab w:val="left" w:pos="900"/>
          <w:tab w:val="left" w:pos="1260"/>
          <w:tab w:val="left" w:pos="2700"/>
        </w:tabs>
        <w:ind w:left="540"/>
        <w:jc w:val="both"/>
        <w:rPr>
          <w:rFonts w:ascii="Arial" w:hAnsi="Arial" w:cs="Arial"/>
        </w:rPr>
      </w:pPr>
    </w:p>
    <w:p w:rsidR="00BA11E1" w:rsidRDefault="00BA11E1" w:rsidP="00BA11E1">
      <w:pPr>
        <w:pStyle w:val="ListParagraph"/>
        <w:numPr>
          <w:ilvl w:val="0"/>
          <w:numId w:val="9"/>
        </w:numPr>
        <w:tabs>
          <w:tab w:val="left" w:pos="540"/>
          <w:tab w:val="left" w:pos="900"/>
          <w:tab w:val="left" w:pos="1260"/>
          <w:tab w:val="left" w:pos="2700"/>
        </w:tabs>
        <w:spacing w:after="0" w:afterAutospacing="0"/>
        <w:ind w:left="540" w:firstLine="0"/>
        <w:jc w:val="both"/>
        <w:rPr>
          <w:rFonts w:ascii="Arial" w:hAnsi="Arial" w:cs="Arial"/>
        </w:rPr>
      </w:pPr>
      <w:r w:rsidRPr="003E31E0">
        <w:rPr>
          <w:rFonts w:ascii="Arial" w:hAnsi="Arial" w:cs="Arial"/>
        </w:rPr>
        <w:t xml:space="preserve">Request from DBM for the approval of realignment of savings to cover the excess expenditure incurred in 2014 and follow-up the similar request covering the </w:t>
      </w:r>
      <w:r w:rsidRPr="003E31E0">
        <w:rPr>
          <w:rFonts w:ascii="Arial" w:hAnsi="Arial" w:cs="Arial"/>
        </w:rPr>
        <w:lastRenderedPageBreak/>
        <w:t>excess expenditures incurred in 2012 and 2013. Absence of authority from DBM will be</w:t>
      </w:r>
      <w:r w:rsidR="00705E86">
        <w:rPr>
          <w:rFonts w:ascii="Arial" w:hAnsi="Arial" w:cs="Arial"/>
        </w:rPr>
        <w:t xml:space="preserve"> a </w:t>
      </w:r>
      <w:r w:rsidRPr="003E31E0">
        <w:rPr>
          <w:rFonts w:ascii="Arial" w:hAnsi="Arial" w:cs="Arial"/>
        </w:rPr>
        <w:t>ground for the suspension and disallowance of the transactions in audit.</w:t>
      </w:r>
    </w:p>
    <w:p w:rsidR="00375549" w:rsidRPr="003E31E0" w:rsidRDefault="00375549" w:rsidP="00375549">
      <w:pPr>
        <w:pStyle w:val="ListParagraph"/>
        <w:tabs>
          <w:tab w:val="left" w:pos="540"/>
          <w:tab w:val="left" w:pos="900"/>
          <w:tab w:val="left" w:pos="1260"/>
          <w:tab w:val="left" w:pos="2700"/>
        </w:tabs>
        <w:spacing w:after="0" w:afterAutospacing="0"/>
        <w:ind w:left="540"/>
        <w:jc w:val="both"/>
        <w:rPr>
          <w:rFonts w:ascii="Arial" w:hAnsi="Arial" w:cs="Arial"/>
        </w:rPr>
      </w:pPr>
    </w:p>
    <w:p w:rsidR="00BA11E1" w:rsidRPr="003E31E0" w:rsidRDefault="00BA11E1" w:rsidP="00BA11E1">
      <w:pPr>
        <w:tabs>
          <w:tab w:val="left" w:pos="540"/>
        </w:tabs>
        <w:spacing w:after="0" w:line="240" w:lineRule="auto"/>
        <w:jc w:val="both"/>
        <w:rPr>
          <w:rFonts w:eastAsia="Calibri"/>
          <w:color w:val="000000"/>
        </w:rPr>
      </w:pPr>
      <w:r w:rsidRPr="003E31E0">
        <w:rPr>
          <w:rFonts w:eastAsia="Calibri"/>
          <w:color w:val="000000"/>
        </w:rPr>
        <w:t>8.</w:t>
      </w:r>
      <w:r w:rsidRPr="003E31E0">
        <w:rPr>
          <w:rFonts w:eastAsia="Calibri"/>
          <w:color w:val="000000"/>
        </w:rPr>
        <w:tab/>
        <w:t>The time frame within which to fully collect loans receivable under various projects was uncertain since it appeared that the capacity of the farmer-availees to pay was not objectively assessed and due to the absence of collection targets for 9 out of 11 projects, thus only P179.855 million was collected during the year, ranging from zero to 109 per cent collection rates or an average of 53.73 percent out of the estimated collectibles</w:t>
      </w:r>
      <w:r w:rsidRPr="003E31E0">
        <w:rPr>
          <w:rFonts w:eastAsia="Calibri"/>
          <w:color w:val="0070C0"/>
        </w:rPr>
        <w:t xml:space="preserve"> </w:t>
      </w:r>
      <w:r w:rsidRPr="003E31E0">
        <w:rPr>
          <w:rFonts w:eastAsia="Calibri"/>
          <w:color w:val="000000"/>
        </w:rPr>
        <w:t>of P334.747 million for the year 2014.</w:t>
      </w:r>
    </w:p>
    <w:p w:rsidR="001E7F7E" w:rsidRPr="003E31E0" w:rsidRDefault="001E7F7E" w:rsidP="001E7F7E">
      <w:pPr>
        <w:pStyle w:val="ListParagraph"/>
        <w:spacing w:after="0" w:afterAutospacing="0"/>
        <w:ind w:left="0"/>
        <w:contextualSpacing w:val="0"/>
        <w:jc w:val="both"/>
        <w:rPr>
          <w:rFonts w:ascii="Arial" w:hAnsi="Arial" w:cs="Arial"/>
        </w:rPr>
      </w:pPr>
    </w:p>
    <w:p w:rsidR="00BA11E1" w:rsidRPr="003E31E0" w:rsidRDefault="00BA11E1" w:rsidP="00BA11E1">
      <w:pPr>
        <w:pStyle w:val="ListParagraph"/>
        <w:tabs>
          <w:tab w:val="left" w:pos="540"/>
          <w:tab w:val="left" w:pos="1980"/>
        </w:tabs>
        <w:spacing w:after="0" w:afterAutospacing="0"/>
        <w:ind w:left="0" w:right="14"/>
        <w:jc w:val="both"/>
        <w:rPr>
          <w:rFonts w:ascii="Arial" w:hAnsi="Arial" w:cs="Arial"/>
          <w:color w:val="000000"/>
        </w:rPr>
      </w:pPr>
      <w:r w:rsidRPr="003E31E0">
        <w:rPr>
          <w:rFonts w:ascii="Arial" w:hAnsi="Arial" w:cs="Arial"/>
          <w:color w:val="000000"/>
        </w:rPr>
        <w:t>8.1</w:t>
      </w:r>
      <w:r w:rsidRPr="003E31E0">
        <w:rPr>
          <w:rFonts w:ascii="Arial" w:hAnsi="Arial" w:cs="Arial"/>
          <w:color w:val="000000"/>
        </w:rPr>
        <w:tab/>
        <w:t xml:space="preserve">We recommended and Management agreed to: </w:t>
      </w:r>
    </w:p>
    <w:p w:rsidR="00BA11E1" w:rsidRPr="003E31E0" w:rsidRDefault="00BA11E1" w:rsidP="00BA11E1">
      <w:pPr>
        <w:pStyle w:val="ListParagraph"/>
        <w:tabs>
          <w:tab w:val="left" w:pos="720"/>
          <w:tab w:val="left" w:pos="1980"/>
        </w:tabs>
        <w:spacing w:after="0" w:afterAutospacing="0"/>
        <w:ind w:left="0" w:right="14"/>
        <w:jc w:val="both"/>
        <w:rPr>
          <w:rFonts w:ascii="Arial" w:hAnsi="Arial" w:cs="Arial"/>
          <w:b/>
          <w:color w:val="000000"/>
        </w:rPr>
      </w:pPr>
    </w:p>
    <w:p w:rsidR="00BA11E1" w:rsidRPr="003E31E0" w:rsidRDefault="00BA11E1" w:rsidP="00BA11E1">
      <w:pPr>
        <w:pStyle w:val="ListParagraph"/>
        <w:numPr>
          <w:ilvl w:val="0"/>
          <w:numId w:val="10"/>
        </w:numPr>
        <w:tabs>
          <w:tab w:val="left" w:pos="540"/>
          <w:tab w:val="left" w:pos="900"/>
          <w:tab w:val="left" w:pos="1260"/>
          <w:tab w:val="left" w:pos="2160"/>
        </w:tabs>
        <w:spacing w:after="0" w:afterAutospacing="0"/>
        <w:ind w:left="540" w:firstLine="0"/>
        <w:jc w:val="both"/>
        <w:rPr>
          <w:rFonts w:ascii="Arial" w:hAnsi="Arial" w:cs="Arial"/>
          <w:color w:val="000000"/>
        </w:rPr>
      </w:pPr>
      <w:r w:rsidRPr="003E31E0">
        <w:rPr>
          <w:rFonts w:ascii="Arial" w:hAnsi="Arial" w:cs="Arial"/>
          <w:bCs/>
          <w:color w:val="000000"/>
        </w:rPr>
        <w:t>Assess the financial capability of the farmer-availees by taking into consideration the appropriateness of existing guidelines prior to grant of loan, including full deduction from the proceeds of a new loan of farmer-availees who have outstanding balance/s  to prevent the accumulation of dormant accounts;</w:t>
      </w:r>
    </w:p>
    <w:p w:rsidR="00BA11E1" w:rsidRPr="003E31E0" w:rsidRDefault="00BA11E1" w:rsidP="00BA11E1">
      <w:pPr>
        <w:pStyle w:val="ListParagraph"/>
        <w:tabs>
          <w:tab w:val="left" w:pos="540"/>
          <w:tab w:val="left" w:pos="900"/>
          <w:tab w:val="left" w:pos="1260"/>
          <w:tab w:val="left" w:pos="2160"/>
        </w:tabs>
        <w:spacing w:after="0" w:afterAutospacing="0"/>
        <w:ind w:left="540"/>
        <w:jc w:val="both"/>
        <w:rPr>
          <w:rFonts w:ascii="Arial" w:hAnsi="Arial" w:cs="Arial"/>
          <w:color w:val="000000"/>
        </w:rPr>
      </w:pPr>
    </w:p>
    <w:p w:rsidR="00BA11E1" w:rsidRPr="003E31E0" w:rsidRDefault="00BA11E1" w:rsidP="00BA11E1">
      <w:pPr>
        <w:pStyle w:val="ListParagraph"/>
        <w:numPr>
          <w:ilvl w:val="0"/>
          <w:numId w:val="10"/>
        </w:numPr>
        <w:tabs>
          <w:tab w:val="left" w:pos="540"/>
          <w:tab w:val="left" w:pos="900"/>
          <w:tab w:val="left" w:pos="1260"/>
          <w:tab w:val="left" w:pos="2160"/>
        </w:tabs>
        <w:spacing w:after="0" w:afterAutospacing="0"/>
        <w:ind w:left="540" w:firstLine="0"/>
        <w:jc w:val="both"/>
        <w:rPr>
          <w:rFonts w:ascii="Arial" w:hAnsi="Arial" w:cs="Arial"/>
          <w:color w:val="000000"/>
        </w:rPr>
      </w:pPr>
      <w:r w:rsidRPr="003E31E0">
        <w:rPr>
          <w:rFonts w:ascii="Arial" w:hAnsi="Arial" w:cs="Arial"/>
          <w:bCs/>
          <w:color w:val="000000"/>
        </w:rPr>
        <w:t xml:space="preserve">Involve the Branch Managers and tobacco technicians in setting yearly collection targets that are reasonable and attainable per project in order </w:t>
      </w:r>
      <w:r w:rsidRPr="003E31E0">
        <w:rPr>
          <w:rFonts w:ascii="Arial" w:hAnsi="Arial" w:cs="Arial"/>
          <w:color w:val="000000"/>
        </w:rPr>
        <w:t>to intensify collection efforts, the results of which would serve as management tool to decide whether to continue or discontinue the grant of loan assistance to tobacco farmers; and</w:t>
      </w:r>
    </w:p>
    <w:p w:rsidR="00BA11E1" w:rsidRPr="003E31E0" w:rsidRDefault="00BA11E1" w:rsidP="00BA11E1">
      <w:pPr>
        <w:pStyle w:val="ListParagraph"/>
        <w:tabs>
          <w:tab w:val="left" w:pos="540"/>
          <w:tab w:val="left" w:pos="900"/>
          <w:tab w:val="left" w:pos="1260"/>
          <w:tab w:val="left" w:pos="2160"/>
        </w:tabs>
        <w:spacing w:after="0" w:afterAutospacing="0"/>
        <w:ind w:left="540"/>
        <w:jc w:val="both"/>
        <w:rPr>
          <w:rFonts w:ascii="Arial" w:hAnsi="Arial" w:cs="Arial"/>
          <w:color w:val="000000"/>
        </w:rPr>
      </w:pPr>
      <w:r w:rsidRPr="003E31E0">
        <w:rPr>
          <w:rFonts w:ascii="Arial" w:hAnsi="Arial" w:cs="Arial"/>
          <w:color w:val="000000"/>
        </w:rPr>
        <w:t xml:space="preserve"> </w:t>
      </w:r>
    </w:p>
    <w:p w:rsidR="00BA11E1" w:rsidRPr="003E31E0" w:rsidRDefault="00BA11E1" w:rsidP="00BA11E1">
      <w:pPr>
        <w:pStyle w:val="ListParagraph"/>
        <w:numPr>
          <w:ilvl w:val="0"/>
          <w:numId w:val="10"/>
        </w:numPr>
        <w:tabs>
          <w:tab w:val="left" w:pos="540"/>
          <w:tab w:val="left" w:pos="900"/>
          <w:tab w:val="left" w:pos="1260"/>
          <w:tab w:val="left" w:pos="2160"/>
        </w:tabs>
        <w:spacing w:after="0" w:afterAutospacing="0"/>
        <w:ind w:left="540" w:firstLine="0"/>
        <w:jc w:val="both"/>
        <w:rPr>
          <w:rFonts w:ascii="Arial" w:hAnsi="Arial" w:cs="Arial"/>
          <w:color w:val="000000"/>
        </w:rPr>
      </w:pPr>
      <w:r w:rsidRPr="003E31E0">
        <w:rPr>
          <w:rFonts w:ascii="Arial" w:hAnsi="Arial" w:cs="Arial"/>
          <w:color w:val="000000"/>
        </w:rPr>
        <w:t>Make representation with PCIC on the possibility of insuring crops and other agricultural produce of tobacco farmers to ensure recovery in cases of losses.</w:t>
      </w:r>
    </w:p>
    <w:p w:rsidR="006C1BE5" w:rsidRPr="003E31E0" w:rsidRDefault="006C1BE5" w:rsidP="001E7F7E">
      <w:pPr>
        <w:pStyle w:val="ListParagraph"/>
        <w:spacing w:after="0" w:afterAutospacing="0"/>
        <w:ind w:left="0"/>
        <w:contextualSpacing w:val="0"/>
        <w:jc w:val="both"/>
        <w:rPr>
          <w:rFonts w:ascii="Arial" w:hAnsi="Arial" w:cs="Arial"/>
        </w:rPr>
      </w:pPr>
    </w:p>
    <w:p w:rsidR="002E3ED9" w:rsidRPr="003E31E0" w:rsidRDefault="002E3ED9" w:rsidP="002E3ED9">
      <w:pPr>
        <w:tabs>
          <w:tab w:val="left" w:pos="540"/>
          <w:tab w:val="left" w:pos="720"/>
        </w:tabs>
        <w:spacing w:after="0" w:line="240" w:lineRule="auto"/>
        <w:jc w:val="both"/>
        <w:rPr>
          <w:rFonts w:eastAsia="Calibri"/>
          <w:color w:val="auto"/>
        </w:rPr>
      </w:pPr>
      <w:r w:rsidRPr="003E31E0">
        <w:rPr>
          <w:color w:val="auto"/>
        </w:rPr>
        <w:t>9.</w:t>
      </w:r>
      <w:r w:rsidRPr="003E31E0">
        <w:rPr>
          <w:color w:val="auto"/>
        </w:rPr>
        <w:tab/>
        <w:t>The net loss of P6.385 million on the first year of operation for hogs and poultry production was farfetched from its projected income of P12.915 million due to,  among others, loan-availees of only 538 compared with the target of 3,939; not properly laid out marketing strategies resulting in low sales of meat processed products; and the absence of clear operational and financial controls, thus  the  risk that the return of investment of P298.858 million may be put to waste and would not be able to pursue the objective</w:t>
      </w:r>
      <w:r w:rsidRPr="003E31E0">
        <w:rPr>
          <w:rFonts w:eastAsia="Calibri"/>
          <w:color w:val="auto"/>
        </w:rPr>
        <w:t xml:space="preserve"> of improving the lives of tobacco farmers.</w:t>
      </w:r>
    </w:p>
    <w:p w:rsidR="006C1BE5" w:rsidRPr="003E31E0" w:rsidRDefault="006C1BE5" w:rsidP="002E3ED9">
      <w:pPr>
        <w:pStyle w:val="ListParagraph"/>
        <w:tabs>
          <w:tab w:val="left" w:pos="540"/>
        </w:tabs>
        <w:spacing w:after="0" w:afterAutospacing="0"/>
        <w:ind w:left="0"/>
        <w:contextualSpacing w:val="0"/>
        <w:jc w:val="both"/>
        <w:rPr>
          <w:rFonts w:ascii="Arial" w:hAnsi="Arial" w:cs="Arial"/>
        </w:rPr>
      </w:pPr>
    </w:p>
    <w:p w:rsidR="00004E32" w:rsidRPr="003E31E0" w:rsidRDefault="00004E32" w:rsidP="00004E32">
      <w:pPr>
        <w:pStyle w:val="ListParagraph"/>
        <w:tabs>
          <w:tab w:val="left" w:pos="540"/>
          <w:tab w:val="left" w:pos="1260"/>
          <w:tab w:val="left" w:pos="1890"/>
        </w:tabs>
        <w:ind w:left="0"/>
        <w:jc w:val="both"/>
        <w:rPr>
          <w:rFonts w:ascii="Arial" w:hAnsi="Arial" w:cs="Arial"/>
          <w:color w:val="FF0000"/>
        </w:rPr>
      </w:pPr>
      <w:r w:rsidRPr="003E31E0">
        <w:rPr>
          <w:rFonts w:ascii="Arial" w:hAnsi="Arial" w:cs="Arial"/>
        </w:rPr>
        <w:t>9.1</w:t>
      </w:r>
      <w:r w:rsidRPr="003E31E0">
        <w:rPr>
          <w:rFonts w:ascii="Arial" w:hAnsi="Arial" w:cs="Arial"/>
        </w:rPr>
        <w:tab/>
        <w:t xml:space="preserve">We recommended and Management agreed to: </w:t>
      </w:r>
    </w:p>
    <w:p w:rsidR="00004E32" w:rsidRPr="003E31E0" w:rsidRDefault="00004E32" w:rsidP="00004E32">
      <w:pPr>
        <w:pStyle w:val="ListParagraph"/>
        <w:tabs>
          <w:tab w:val="left" w:pos="720"/>
          <w:tab w:val="left" w:pos="1260"/>
          <w:tab w:val="left" w:pos="1890"/>
        </w:tabs>
        <w:ind w:left="0"/>
        <w:jc w:val="both"/>
        <w:rPr>
          <w:rFonts w:ascii="Arial" w:hAnsi="Arial" w:cs="Arial"/>
        </w:rPr>
      </w:pPr>
    </w:p>
    <w:p w:rsidR="00004E32" w:rsidRPr="003E31E0" w:rsidRDefault="00004E32" w:rsidP="006570FA">
      <w:pPr>
        <w:pStyle w:val="ListParagraph"/>
        <w:numPr>
          <w:ilvl w:val="0"/>
          <w:numId w:val="11"/>
        </w:numPr>
        <w:tabs>
          <w:tab w:val="left" w:pos="540"/>
          <w:tab w:val="left" w:pos="900"/>
          <w:tab w:val="left" w:pos="1260"/>
          <w:tab w:val="left" w:pos="2520"/>
        </w:tabs>
        <w:spacing w:after="0" w:afterAutospacing="0"/>
        <w:ind w:left="540" w:firstLine="0"/>
        <w:jc w:val="both"/>
        <w:rPr>
          <w:rFonts w:ascii="Arial" w:hAnsi="Arial" w:cs="Arial"/>
        </w:rPr>
      </w:pPr>
      <w:r w:rsidRPr="003E31E0">
        <w:rPr>
          <w:rFonts w:ascii="Arial" w:hAnsi="Arial" w:cs="Arial"/>
        </w:rPr>
        <w:t xml:space="preserve">Device a plan that would attract loan-availees to increase production and to include budget allocation to expand the cold storage capacity and conduct survey on the possibility of charging the  transport cost and other expenses to the loan-availees,  in order to carry out the project efficiently and economically;     </w:t>
      </w:r>
    </w:p>
    <w:p w:rsidR="00004E32" w:rsidRPr="003E31E0" w:rsidRDefault="00004E32" w:rsidP="00004E32">
      <w:pPr>
        <w:pStyle w:val="ListParagraph"/>
        <w:tabs>
          <w:tab w:val="left" w:pos="720"/>
          <w:tab w:val="left" w:pos="1260"/>
          <w:tab w:val="left" w:pos="2520"/>
        </w:tabs>
        <w:spacing w:after="0" w:afterAutospacing="0"/>
        <w:jc w:val="both"/>
        <w:rPr>
          <w:rFonts w:ascii="Arial" w:hAnsi="Arial" w:cs="Arial"/>
        </w:rPr>
      </w:pPr>
    </w:p>
    <w:p w:rsidR="00004E32" w:rsidRPr="003E31E0" w:rsidRDefault="00004E32" w:rsidP="006570FA">
      <w:pPr>
        <w:pStyle w:val="ListParagraph"/>
        <w:numPr>
          <w:ilvl w:val="0"/>
          <w:numId w:val="11"/>
        </w:numPr>
        <w:tabs>
          <w:tab w:val="left" w:pos="900"/>
          <w:tab w:val="left" w:pos="1260"/>
          <w:tab w:val="left" w:pos="2520"/>
        </w:tabs>
        <w:spacing w:after="0" w:afterAutospacing="0"/>
        <w:ind w:left="540" w:firstLine="0"/>
        <w:jc w:val="both"/>
        <w:rPr>
          <w:rFonts w:ascii="Arial" w:hAnsi="Arial" w:cs="Arial"/>
        </w:rPr>
      </w:pPr>
      <w:r w:rsidRPr="003E31E0">
        <w:rPr>
          <w:rFonts w:ascii="Arial" w:hAnsi="Arial" w:cs="Arial"/>
        </w:rPr>
        <w:t>Instruct the Plant Supervisor, Internal Audit Manager and the Chief Accountant to prepare operational and accounting manuals to serve as guide in carrying out the business operations and documenting overall financial operations to ensure that controls are in place to avoid loss or waste of government funds and property;</w:t>
      </w:r>
    </w:p>
    <w:p w:rsidR="00004E32" w:rsidRPr="003E31E0" w:rsidRDefault="00004E32" w:rsidP="00004E32">
      <w:pPr>
        <w:pStyle w:val="ListParagraph"/>
        <w:tabs>
          <w:tab w:val="left" w:pos="720"/>
          <w:tab w:val="left" w:pos="1260"/>
          <w:tab w:val="left" w:pos="2520"/>
        </w:tabs>
        <w:spacing w:after="0" w:afterAutospacing="0"/>
        <w:jc w:val="both"/>
        <w:rPr>
          <w:rFonts w:ascii="Arial" w:hAnsi="Arial" w:cs="Arial"/>
        </w:rPr>
      </w:pPr>
    </w:p>
    <w:p w:rsidR="00004E32" w:rsidRPr="003E31E0" w:rsidRDefault="00004E32" w:rsidP="006570FA">
      <w:pPr>
        <w:pStyle w:val="ListParagraph"/>
        <w:numPr>
          <w:ilvl w:val="0"/>
          <w:numId w:val="11"/>
        </w:numPr>
        <w:tabs>
          <w:tab w:val="left" w:pos="900"/>
          <w:tab w:val="left" w:pos="1260"/>
          <w:tab w:val="left" w:pos="2520"/>
        </w:tabs>
        <w:spacing w:after="0" w:afterAutospacing="0"/>
        <w:ind w:left="540" w:firstLine="0"/>
        <w:jc w:val="both"/>
        <w:rPr>
          <w:rFonts w:ascii="Arial" w:hAnsi="Arial" w:cs="Arial"/>
        </w:rPr>
      </w:pPr>
      <w:r w:rsidRPr="003E31E0">
        <w:rPr>
          <w:rFonts w:ascii="Arial" w:hAnsi="Arial" w:cs="Arial"/>
        </w:rPr>
        <w:t>Implement the project in accordance with implementing guidelines particularly on the granting of financial assistance to  small tobacco farmers to attain the project’s objectives;</w:t>
      </w:r>
    </w:p>
    <w:p w:rsidR="00004E32" w:rsidRPr="003E31E0" w:rsidRDefault="00004E32" w:rsidP="00004E32">
      <w:pPr>
        <w:pStyle w:val="ListParagraph"/>
        <w:tabs>
          <w:tab w:val="left" w:pos="720"/>
          <w:tab w:val="left" w:pos="1260"/>
          <w:tab w:val="left" w:pos="2520"/>
        </w:tabs>
        <w:spacing w:after="0" w:afterAutospacing="0"/>
        <w:jc w:val="both"/>
        <w:rPr>
          <w:rFonts w:ascii="Arial" w:hAnsi="Arial" w:cs="Arial"/>
        </w:rPr>
      </w:pPr>
    </w:p>
    <w:p w:rsidR="00004E32" w:rsidRPr="003E31E0" w:rsidRDefault="00004E32" w:rsidP="00004E32">
      <w:pPr>
        <w:pStyle w:val="ListParagraph"/>
        <w:numPr>
          <w:ilvl w:val="0"/>
          <w:numId w:val="11"/>
        </w:numPr>
        <w:tabs>
          <w:tab w:val="left" w:pos="900"/>
          <w:tab w:val="left" w:pos="1260"/>
          <w:tab w:val="left" w:pos="2520"/>
        </w:tabs>
        <w:spacing w:after="0" w:afterAutospacing="0"/>
        <w:ind w:left="540" w:firstLine="0"/>
        <w:jc w:val="both"/>
        <w:rPr>
          <w:rFonts w:ascii="Arial" w:hAnsi="Arial" w:cs="Arial"/>
        </w:rPr>
      </w:pPr>
      <w:r w:rsidRPr="003E31E0">
        <w:rPr>
          <w:rFonts w:ascii="Arial" w:hAnsi="Arial" w:cs="Arial"/>
        </w:rPr>
        <w:lastRenderedPageBreak/>
        <w:t>Consider  hiring  a marketing expert who will be responsible in helping out figure sales; analyze market data on a local, regional or national level; determine what people are buying, what gaps are in the market,  looking at competitors and their pricing, creating and administering surveys, questionnaires and other information gathering devices and an effort to help expertly understand the best way to market the AgriPinoy products;</w:t>
      </w:r>
      <w:r w:rsidRPr="003E31E0">
        <w:rPr>
          <w:rFonts w:ascii="Arial" w:hAnsi="Arial" w:cs="Arial"/>
          <w:color w:val="FF0000"/>
        </w:rPr>
        <w:t xml:space="preserve"> </w:t>
      </w:r>
      <w:r w:rsidRPr="003E31E0">
        <w:rPr>
          <w:rFonts w:ascii="Arial" w:hAnsi="Arial" w:cs="Arial"/>
        </w:rPr>
        <w:t>and</w:t>
      </w:r>
    </w:p>
    <w:p w:rsidR="00004E32" w:rsidRPr="003E31E0" w:rsidRDefault="00004E32" w:rsidP="00004E32">
      <w:pPr>
        <w:pStyle w:val="ListParagraph"/>
        <w:tabs>
          <w:tab w:val="left" w:pos="720"/>
          <w:tab w:val="left" w:pos="1260"/>
        </w:tabs>
        <w:rPr>
          <w:rFonts w:ascii="Arial" w:hAnsi="Arial" w:cs="Arial"/>
        </w:rPr>
      </w:pPr>
    </w:p>
    <w:p w:rsidR="00004E32" w:rsidRPr="003E31E0" w:rsidRDefault="00004E32" w:rsidP="00C91080">
      <w:pPr>
        <w:pStyle w:val="ListParagraph"/>
        <w:tabs>
          <w:tab w:val="left" w:pos="900"/>
        </w:tabs>
        <w:spacing w:after="0" w:afterAutospacing="0"/>
        <w:ind w:left="540"/>
        <w:contextualSpacing w:val="0"/>
        <w:jc w:val="both"/>
        <w:rPr>
          <w:rFonts w:ascii="Arial" w:hAnsi="Arial" w:cs="Arial"/>
        </w:rPr>
      </w:pPr>
      <w:r w:rsidRPr="003E31E0">
        <w:rPr>
          <w:rFonts w:ascii="Arial" w:hAnsi="Arial" w:cs="Arial"/>
        </w:rPr>
        <w:t xml:space="preserve">e. </w:t>
      </w:r>
      <w:r w:rsidR="00C91080">
        <w:rPr>
          <w:rFonts w:ascii="Arial" w:hAnsi="Arial" w:cs="Arial"/>
        </w:rPr>
        <w:t xml:space="preserve"> </w:t>
      </w:r>
      <w:r w:rsidRPr="003E31E0">
        <w:rPr>
          <w:rFonts w:ascii="Arial" w:hAnsi="Arial" w:cs="Arial"/>
        </w:rPr>
        <w:t>Instruct the Planning Division to prepare sales and income projections, among others, for any project feasibility studies that are reasonable so as to determine the sustainability and viability of proposed projects.</w:t>
      </w:r>
    </w:p>
    <w:p w:rsidR="00446038" w:rsidRPr="003E31E0" w:rsidRDefault="00446038" w:rsidP="00004E32">
      <w:pPr>
        <w:pStyle w:val="ListParagraph"/>
        <w:tabs>
          <w:tab w:val="left" w:pos="900"/>
        </w:tabs>
        <w:spacing w:after="0" w:afterAutospacing="0"/>
        <w:ind w:left="540"/>
        <w:contextualSpacing w:val="0"/>
        <w:jc w:val="both"/>
        <w:rPr>
          <w:rFonts w:ascii="Arial" w:hAnsi="Arial" w:cs="Arial"/>
        </w:rPr>
      </w:pPr>
    </w:p>
    <w:p w:rsidR="00F52F13" w:rsidRPr="003E31E0" w:rsidRDefault="00F52F13" w:rsidP="00F52F13">
      <w:pPr>
        <w:tabs>
          <w:tab w:val="left" w:pos="540"/>
        </w:tabs>
        <w:spacing w:after="0" w:line="240" w:lineRule="auto"/>
        <w:jc w:val="both"/>
        <w:rPr>
          <w:color w:val="auto"/>
        </w:rPr>
      </w:pPr>
      <w:r w:rsidRPr="003E31E0">
        <w:rPr>
          <w:color w:val="auto"/>
        </w:rPr>
        <w:t>10.</w:t>
      </w:r>
      <w:r w:rsidRPr="003E31E0">
        <w:rPr>
          <w:color w:val="auto"/>
        </w:rPr>
        <w:tab/>
        <w:t>Internal control over the movement/transfer of raw materials from the holding pen  to the Slaughter Section is weak, resulting in unaccounted disposals</w:t>
      </w:r>
      <w:r w:rsidRPr="003E31E0" w:rsidDel="00083073">
        <w:rPr>
          <w:color w:val="auto"/>
        </w:rPr>
        <w:t xml:space="preserve"> </w:t>
      </w:r>
      <w:r w:rsidRPr="003E31E0">
        <w:rPr>
          <w:color w:val="auto"/>
        </w:rPr>
        <w:t>which could possibly result in the loss of raw materials; thus, raised doubt on the accuracy of the  Raw Materials Inventory-Hog account balance of P1.912 million.</w:t>
      </w:r>
    </w:p>
    <w:p w:rsidR="006C1BE5" w:rsidRPr="003E31E0" w:rsidRDefault="006C1BE5" w:rsidP="001E7F7E">
      <w:pPr>
        <w:pStyle w:val="ListParagraph"/>
        <w:spacing w:after="0" w:afterAutospacing="0"/>
        <w:ind w:left="0"/>
        <w:contextualSpacing w:val="0"/>
        <w:jc w:val="both"/>
        <w:rPr>
          <w:rFonts w:ascii="Arial" w:hAnsi="Arial" w:cs="Arial"/>
        </w:rPr>
      </w:pPr>
    </w:p>
    <w:p w:rsidR="00446038" w:rsidRPr="003E31E0" w:rsidRDefault="00446038" w:rsidP="00446038">
      <w:pPr>
        <w:pStyle w:val="ListParagraph"/>
        <w:tabs>
          <w:tab w:val="left" w:pos="540"/>
          <w:tab w:val="left" w:pos="1800"/>
        </w:tabs>
        <w:ind w:left="0" w:right="-4"/>
        <w:jc w:val="both"/>
        <w:rPr>
          <w:rFonts w:ascii="Arial" w:hAnsi="Arial" w:cs="Arial"/>
          <w:i/>
        </w:rPr>
      </w:pPr>
      <w:r w:rsidRPr="003E31E0">
        <w:rPr>
          <w:rFonts w:ascii="Arial" w:hAnsi="Arial" w:cs="Arial"/>
        </w:rPr>
        <w:t>10.1</w:t>
      </w:r>
      <w:r w:rsidRPr="003E31E0">
        <w:rPr>
          <w:rFonts w:ascii="Arial" w:hAnsi="Arial" w:cs="Arial"/>
        </w:rPr>
        <w:tab/>
        <w:t>We recommended and Management agreed to:</w:t>
      </w:r>
    </w:p>
    <w:p w:rsidR="00446038" w:rsidRPr="003E31E0" w:rsidRDefault="00446038" w:rsidP="00446038">
      <w:pPr>
        <w:pStyle w:val="ListParagraph"/>
        <w:tabs>
          <w:tab w:val="left" w:pos="720"/>
          <w:tab w:val="left" w:pos="1260"/>
        </w:tabs>
        <w:spacing w:after="0" w:afterAutospacing="0"/>
        <w:jc w:val="both"/>
        <w:rPr>
          <w:rFonts w:ascii="Arial" w:hAnsi="Arial" w:cs="Arial"/>
        </w:rPr>
      </w:pPr>
    </w:p>
    <w:p w:rsidR="00446038" w:rsidRPr="003E31E0" w:rsidRDefault="00446038" w:rsidP="00446038">
      <w:pPr>
        <w:pStyle w:val="ListParagraph"/>
        <w:numPr>
          <w:ilvl w:val="0"/>
          <w:numId w:val="12"/>
        </w:numPr>
        <w:tabs>
          <w:tab w:val="left" w:pos="900"/>
          <w:tab w:val="left" w:pos="1260"/>
          <w:tab w:val="left" w:pos="2610"/>
        </w:tabs>
        <w:ind w:left="540" w:firstLine="0"/>
        <w:jc w:val="both"/>
        <w:rPr>
          <w:rFonts w:ascii="Arial" w:hAnsi="Arial" w:cs="Arial"/>
        </w:rPr>
      </w:pPr>
      <w:r w:rsidRPr="003E31E0">
        <w:rPr>
          <w:rFonts w:ascii="Arial" w:hAnsi="Arial" w:cs="Arial"/>
        </w:rPr>
        <w:t>Evaluate the existing process flow relative to buying and selling of hogs and meat to determine where it can be improved to ensure that everything is duly accounted for, including defining the timing and frequency of reconciliation of the records of the Raw Materials Coordinator, Head of Slaughtering Section and the Accountant; and</w:t>
      </w:r>
    </w:p>
    <w:p w:rsidR="00446038" w:rsidRPr="003E31E0" w:rsidRDefault="00446038" w:rsidP="00446038">
      <w:pPr>
        <w:pStyle w:val="ListParagraph"/>
        <w:tabs>
          <w:tab w:val="left" w:pos="720"/>
          <w:tab w:val="left" w:pos="1260"/>
          <w:tab w:val="left" w:pos="2610"/>
        </w:tabs>
        <w:jc w:val="both"/>
        <w:rPr>
          <w:rFonts w:ascii="Arial" w:hAnsi="Arial" w:cs="Arial"/>
        </w:rPr>
      </w:pPr>
    </w:p>
    <w:p w:rsidR="00446038" w:rsidRPr="003E31E0" w:rsidRDefault="00446038" w:rsidP="00446038">
      <w:pPr>
        <w:pStyle w:val="ListParagraph"/>
        <w:numPr>
          <w:ilvl w:val="0"/>
          <w:numId w:val="12"/>
        </w:numPr>
        <w:tabs>
          <w:tab w:val="left" w:pos="900"/>
          <w:tab w:val="left" w:pos="1260"/>
          <w:tab w:val="left" w:pos="2610"/>
        </w:tabs>
        <w:ind w:left="540" w:firstLine="0"/>
        <w:jc w:val="both"/>
        <w:rPr>
          <w:rFonts w:ascii="Arial" w:hAnsi="Arial" w:cs="Arial"/>
        </w:rPr>
      </w:pPr>
      <w:r w:rsidRPr="003E31E0">
        <w:rPr>
          <w:rFonts w:ascii="Arial" w:hAnsi="Arial" w:cs="Arial"/>
        </w:rPr>
        <w:t>Instruct the Raw Materials Coordinator and the Head of Slaughtering Section to reconcile their records on a regular basis and furnish the Accountant of the reconciliation made as basis for adjusting the Raw Materials Inventory account.</w:t>
      </w:r>
    </w:p>
    <w:p w:rsidR="00F52F13" w:rsidRPr="003E31E0" w:rsidRDefault="00F52F13" w:rsidP="009E12CF">
      <w:pPr>
        <w:pStyle w:val="ListParagraph"/>
        <w:tabs>
          <w:tab w:val="left" w:pos="540"/>
        </w:tabs>
        <w:spacing w:after="0" w:afterAutospacing="0"/>
        <w:ind w:left="0"/>
        <w:contextualSpacing w:val="0"/>
        <w:jc w:val="both"/>
        <w:rPr>
          <w:rFonts w:ascii="Arial" w:hAnsi="Arial" w:cs="Arial"/>
        </w:rPr>
      </w:pPr>
    </w:p>
    <w:p w:rsidR="009E12CF" w:rsidRPr="003E31E0" w:rsidRDefault="009E12CF" w:rsidP="009E12CF">
      <w:pPr>
        <w:tabs>
          <w:tab w:val="left" w:pos="540"/>
          <w:tab w:val="left" w:pos="720"/>
        </w:tabs>
        <w:spacing w:after="0" w:line="240" w:lineRule="auto"/>
        <w:jc w:val="both"/>
        <w:rPr>
          <w:color w:val="auto"/>
        </w:rPr>
      </w:pPr>
      <w:r w:rsidRPr="003E31E0">
        <w:rPr>
          <w:color w:val="auto"/>
        </w:rPr>
        <w:t>11.</w:t>
      </w:r>
      <w:r w:rsidRPr="003E31E0">
        <w:rPr>
          <w:color w:val="auto"/>
        </w:rPr>
        <w:tab/>
        <w:t xml:space="preserve">Accounts Receivable totaling P1.363 million under the Hog Fattening Program may no longer be collected from the 95 beneficiaries due to livestock mortality which was not properly documented, and beneficiaries who are no longer qualified in the second cycle of loan availment due to low production yield, thus may result in the depletion of funds that could hinder the continuity of the project implementation. </w:t>
      </w:r>
    </w:p>
    <w:p w:rsidR="006C1BE5" w:rsidRPr="003E31E0" w:rsidRDefault="006C1BE5" w:rsidP="001E7F7E">
      <w:pPr>
        <w:pStyle w:val="ListParagraph"/>
        <w:spacing w:after="0" w:afterAutospacing="0"/>
        <w:ind w:left="0"/>
        <w:contextualSpacing w:val="0"/>
        <w:jc w:val="both"/>
        <w:rPr>
          <w:rFonts w:ascii="Arial" w:hAnsi="Arial" w:cs="Arial"/>
        </w:rPr>
      </w:pPr>
    </w:p>
    <w:p w:rsidR="009E12CF" w:rsidRPr="003E31E0" w:rsidRDefault="009E12CF" w:rsidP="009E12CF">
      <w:pPr>
        <w:pStyle w:val="ListParagraph"/>
        <w:tabs>
          <w:tab w:val="left" w:pos="540"/>
          <w:tab w:val="left" w:pos="1890"/>
        </w:tabs>
        <w:spacing w:after="0" w:afterAutospacing="0"/>
        <w:ind w:left="0"/>
        <w:jc w:val="both"/>
        <w:rPr>
          <w:rFonts w:ascii="Arial" w:hAnsi="Arial" w:cs="Arial"/>
        </w:rPr>
      </w:pPr>
      <w:r w:rsidRPr="003E31E0">
        <w:rPr>
          <w:rFonts w:ascii="Arial" w:hAnsi="Arial" w:cs="Arial"/>
        </w:rPr>
        <w:t>11.</w:t>
      </w:r>
      <w:r w:rsidR="00943546">
        <w:rPr>
          <w:rFonts w:ascii="Arial" w:hAnsi="Arial" w:cs="Arial"/>
        </w:rPr>
        <w:t>1</w:t>
      </w:r>
      <w:r w:rsidRPr="003E31E0">
        <w:rPr>
          <w:rFonts w:ascii="Arial" w:hAnsi="Arial" w:cs="Arial"/>
          <w:b/>
        </w:rPr>
        <w:tab/>
      </w:r>
      <w:r w:rsidRPr="003E31E0">
        <w:rPr>
          <w:rFonts w:ascii="Arial" w:hAnsi="Arial" w:cs="Arial"/>
        </w:rPr>
        <w:t>We recommended and Management agreed to:</w:t>
      </w:r>
    </w:p>
    <w:p w:rsidR="009E12CF" w:rsidRPr="003E31E0" w:rsidRDefault="009E12CF" w:rsidP="009E12CF">
      <w:pPr>
        <w:pStyle w:val="ListParagraph"/>
        <w:tabs>
          <w:tab w:val="left" w:pos="720"/>
          <w:tab w:val="left" w:pos="1890"/>
        </w:tabs>
        <w:spacing w:after="0" w:afterAutospacing="0"/>
        <w:ind w:left="0"/>
        <w:jc w:val="both"/>
        <w:rPr>
          <w:rFonts w:ascii="Arial" w:hAnsi="Arial" w:cs="Arial"/>
        </w:rPr>
      </w:pPr>
    </w:p>
    <w:p w:rsidR="009E12CF" w:rsidRPr="003E31E0" w:rsidRDefault="009E12CF" w:rsidP="009E12CF">
      <w:pPr>
        <w:pStyle w:val="ListParagraph"/>
        <w:numPr>
          <w:ilvl w:val="0"/>
          <w:numId w:val="13"/>
        </w:numPr>
        <w:tabs>
          <w:tab w:val="left" w:pos="900"/>
        </w:tabs>
        <w:ind w:left="540" w:firstLine="0"/>
        <w:jc w:val="both"/>
        <w:rPr>
          <w:rFonts w:ascii="Arial" w:hAnsi="Arial" w:cs="Arial"/>
        </w:rPr>
      </w:pPr>
      <w:r w:rsidRPr="003E31E0">
        <w:rPr>
          <w:rFonts w:ascii="Arial" w:hAnsi="Arial" w:cs="Arial"/>
        </w:rPr>
        <w:t>Include in the guidelines as part of the responsibility of the beneficiary to notify NTA immediately in cases of death of hogs due to natural calamity or epidemic diseases so that conduct of inspection by the Municipal Veterinarian can be timely requested;</w:t>
      </w:r>
    </w:p>
    <w:p w:rsidR="009E12CF" w:rsidRPr="003E31E0" w:rsidRDefault="009E12CF" w:rsidP="009E12CF">
      <w:pPr>
        <w:pStyle w:val="ListParagraph"/>
        <w:tabs>
          <w:tab w:val="left" w:pos="1260"/>
        </w:tabs>
        <w:jc w:val="both"/>
        <w:rPr>
          <w:rFonts w:ascii="Arial" w:hAnsi="Arial" w:cs="Arial"/>
        </w:rPr>
      </w:pPr>
    </w:p>
    <w:p w:rsidR="009E12CF" w:rsidRPr="003E31E0" w:rsidRDefault="009E12CF" w:rsidP="009E12CF">
      <w:pPr>
        <w:pStyle w:val="ListParagraph"/>
        <w:numPr>
          <w:ilvl w:val="0"/>
          <w:numId w:val="13"/>
        </w:numPr>
        <w:tabs>
          <w:tab w:val="left" w:pos="900"/>
        </w:tabs>
        <w:ind w:left="540" w:firstLine="0"/>
        <w:jc w:val="both"/>
        <w:rPr>
          <w:rFonts w:ascii="Arial" w:hAnsi="Arial" w:cs="Arial"/>
        </w:rPr>
      </w:pPr>
      <w:r w:rsidRPr="003E31E0">
        <w:rPr>
          <w:rFonts w:ascii="Arial" w:hAnsi="Arial" w:cs="Arial"/>
        </w:rPr>
        <w:t xml:space="preserve"> Instruct the Tobacco Technicians to always secure post mortem report of death of hogs from the Municipal Veterinarian as basis for requesting for write off of the accounts from the Commission on Audit, if warranted; and </w:t>
      </w:r>
    </w:p>
    <w:p w:rsidR="009E12CF" w:rsidRPr="003E31E0" w:rsidRDefault="009E12CF" w:rsidP="009E12CF">
      <w:pPr>
        <w:pStyle w:val="ListParagraph"/>
        <w:tabs>
          <w:tab w:val="left" w:pos="1260"/>
        </w:tabs>
        <w:jc w:val="both"/>
        <w:rPr>
          <w:rFonts w:ascii="Arial" w:hAnsi="Arial" w:cs="Arial"/>
        </w:rPr>
      </w:pPr>
    </w:p>
    <w:p w:rsidR="009E12CF" w:rsidRPr="003E31E0" w:rsidRDefault="009E12CF" w:rsidP="009E12CF">
      <w:pPr>
        <w:pStyle w:val="ListParagraph"/>
        <w:numPr>
          <w:ilvl w:val="0"/>
          <w:numId w:val="13"/>
        </w:numPr>
        <w:tabs>
          <w:tab w:val="left" w:pos="900"/>
        </w:tabs>
        <w:ind w:left="540" w:firstLine="0"/>
        <w:jc w:val="both"/>
        <w:rPr>
          <w:rFonts w:ascii="Arial" w:hAnsi="Arial" w:cs="Arial"/>
        </w:rPr>
      </w:pPr>
      <w:r w:rsidRPr="003E31E0">
        <w:rPr>
          <w:rFonts w:ascii="Arial" w:hAnsi="Arial" w:cs="Arial"/>
        </w:rPr>
        <w:t>Send demand letters to beneficiaries whose hog(s) died, but the cause of death was not due to natural calamities or epidemic diseases.</w:t>
      </w:r>
    </w:p>
    <w:p w:rsidR="006C1BE5" w:rsidRDefault="006C1BE5" w:rsidP="001E7F7E">
      <w:pPr>
        <w:pStyle w:val="ListParagraph"/>
        <w:spacing w:after="0" w:afterAutospacing="0"/>
        <w:ind w:left="0"/>
        <w:contextualSpacing w:val="0"/>
        <w:jc w:val="both"/>
        <w:rPr>
          <w:rFonts w:ascii="Arial" w:hAnsi="Arial" w:cs="Arial"/>
        </w:rPr>
      </w:pPr>
    </w:p>
    <w:p w:rsidR="00720507" w:rsidRDefault="00720507" w:rsidP="001E7F7E">
      <w:pPr>
        <w:pStyle w:val="ListParagraph"/>
        <w:spacing w:after="0" w:afterAutospacing="0"/>
        <w:ind w:left="0"/>
        <w:contextualSpacing w:val="0"/>
        <w:jc w:val="both"/>
        <w:rPr>
          <w:rFonts w:ascii="Arial" w:hAnsi="Arial" w:cs="Arial"/>
        </w:rPr>
      </w:pPr>
    </w:p>
    <w:p w:rsidR="00720507" w:rsidRPr="003E31E0" w:rsidRDefault="00720507" w:rsidP="001E7F7E">
      <w:pPr>
        <w:pStyle w:val="ListParagraph"/>
        <w:spacing w:after="0" w:afterAutospacing="0"/>
        <w:ind w:left="0"/>
        <w:contextualSpacing w:val="0"/>
        <w:jc w:val="both"/>
        <w:rPr>
          <w:rFonts w:ascii="Arial" w:hAnsi="Arial" w:cs="Arial"/>
        </w:rPr>
      </w:pPr>
    </w:p>
    <w:p w:rsidR="00C619B6" w:rsidRPr="003E31E0" w:rsidRDefault="00C619B6" w:rsidP="00C619B6">
      <w:pPr>
        <w:tabs>
          <w:tab w:val="left" w:pos="540"/>
        </w:tabs>
        <w:spacing w:after="0" w:line="240" w:lineRule="auto"/>
        <w:jc w:val="both"/>
        <w:rPr>
          <w:color w:val="auto"/>
        </w:rPr>
      </w:pPr>
      <w:r w:rsidRPr="003E31E0">
        <w:rPr>
          <w:color w:val="auto"/>
        </w:rPr>
        <w:lastRenderedPageBreak/>
        <w:t>12.</w:t>
      </w:r>
      <w:r w:rsidRPr="003E31E0">
        <w:rPr>
          <w:color w:val="auto"/>
        </w:rPr>
        <w:tab/>
        <w:t>Physical assets of the AgriPinoy Plant valued at P298.858  million were not covered with insurance, in violation of Section 5 of Republic Act (RA) No. 656, as amended by Presidential Decree (PD) No. 245, thus, the risk of loss in case of damage or loss of property.</w:t>
      </w:r>
    </w:p>
    <w:p w:rsidR="009E12CF" w:rsidRPr="003E31E0" w:rsidRDefault="009E12CF" w:rsidP="001E7F7E">
      <w:pPr>
        <w:pStyle w:val="ListParagraph"/>
        <w:spacing w:after="0" w:afterAutospacing="0"/>
        <w:ind w:left="0"/>
        <w:contextualSpacing w:val="0"/>
        <w:jc w:val="both"/>
        <w:rPr>
          <w:rFonts w:ascii="Arial" w:hAnsi="Arial" w:cs="Arial"/>
        </w:rPr>
      </w:pPr>
    </w:p>
    <w:p w:rsidR="00C619B6" w:rsidRPr="003E31E0" w:rsidRDefault="00C619B6" w:rsidP="00C619B6">
      <w:pPr>
        <w:pStyle w:val="ListParagraph"/>
        <w:tabs>
          <w:tab w:val="left" w:pos="540"/>
          <w:tab w:val="left" w:pos="1980"/>
        </w:tabs>
        <w:ind w:left="0"/>
        <w:jc w:val="both"/>
        <w:rPr>
          <w:rFonts w:ascii="Arial" w:hAnsi="Arial" w:cs="Arial"/>
        </w:rPr>
      </w:pPr>
      <w:r w:rsidRPr="003E31E0">
        <w:rPr>
          <w:rFonts w:ascii="Arial" w:hAnsi="Arial" w:cs="Arial"/>
        </w:rPr>
        <w:t>12.1</w:t>
      </w:r>
      <w:r w:rsidRPr="003E31E0">
        <w:rPr>
          <w:rFonts w:ascii="Arial" w:hAnsi="Arial" w:cs="Arial"/>
        </w:rPr>
        <w:tab/>
        <w:t>We recommended and Management agreed to follow up from the Manager of the AgriPinoy Project the complete inventory report of the physical assets and insure all insurable property with the General Insurance Fund of the GSIS to protect the interest of NTA.</w:t>
      </w:r>
    </w:p>
    <w:p w:rsidR="00C619B6" w:rsidRPr="003E31E0" w:rsidRDefault="00C619B6" w:rsidP="00C619B6">
      <w:pPr>
        <w:tabs>
          <w:tab w:val="left" w:pos="540"/>
          <w:tab w:val="left" w:pos="1890"/>
        </w:tabs>
        <w:spacing w:after="0" w:line="240" w:lineRule="auto"/>
        <w:jc w:val="both"/>
        <w:rPr>
          <w:rFonts w:eastAsia="Calibri"/>
          <w:color w:val="auto"/>
        </w:rPr>
      </w:pPr>
      <w:r w:rsidRPr="003E31E0">
        <w:rPr>
          <w:color w:val="auto"/>
        </w:rPr>
        <w:t>13.</w:t>
      </w:r>
      <w:r w:rsidRPr="003E31E0">
        <w:rPr>
          <w:color w:val="auto"/>
        </w:rPr>
        <w:tab/>
        <w:t>The incurrence of losses for six consecutive years already amounting to P11.230 million in the operations of the Tobacco Dust Processing Plant (TDPP) due to difficulty of disposing stocks and high production and operating cost, and the probability of recovering the investment estimated at  P129.614 million in a period of four years and four months per projection cast doubt as to the viability and sustainability of the project.</w:t>
      </w:r>
    </w:p>
    <w:p w:rsidR="00C619B6" w:rsidRPr="003E31E0" w:rsidRDefault="00C619B6" w:rsidP="00C619B6">
      <w:pPr>
        <w:pStyle w:val="ListParagraph"/>
        <w:tabs>
          <w:tab w:val="left" w:pos="540"/>
          <w:tab w:val="left" w:pos="1980"/>
        </w:tabs>
        <w:ind w:left="0"/>
        <w:jc w:val="both"/>
        <w:rPr>
          <w:rFonts w:ascii="Arial" w:hAnsi="Arial" w:cs="Arial"/>
          <w:i/>
        </w:rPr>
      </w:pPr>
    </w:p>
    <w:p w:rsidR="00C619B6" w:rsidRPr="003E31E0" w:rsidRDefault="00C619B6" w:rsidP="00C619B6">
      <w:pPr>
        <w:pStyle w:val="ListParagraph"/>
        <w:tabs>
          <w:tab w:val="left" w:pos="720"/>
          <w:tab w:val="left" w:pos="1890"/>
        </w:tabs>
        <w:ind w:left="0"/>
        <w:jc w:val="both"/>
        <w:rPr>
          <w:rFonts w:ascii="Arial" w:hAnsi="Arial" w:cs="Arial"/>
        </w:rPr>
      </w:pPr>
      <w:r w:rsidRPr="003E31E0">
        <w:rPr>
          <w:rFonts w:ascii="Arial" w:hAnsi="Arial" w:cs="Arial"/>
        </w:rPr>
        <w:t>13.1 We recommended that Management undertake careful study of the project with the end in view to preventing incurrence of further losses and waste of government funds.</w:t>
      </w:r>
    </w:p>
    <w:p w:rsidR="00C619B6" w:rsidRPr="003E31E0" w:rsidRDefault="00C619B6" w:rsidP="001E7F7E">
      <w:pPr>
        <w:pStyle w:val="ListParagraph"/>
        <w:spacing w:after="0" w:afterAutospacing="0"/>
        <w:ind w:left="0"/>
        <w:contextualSpacing w:val="0"/>
        <w:jc w:val="both"/>
        <w:rPr>
          <w:rFonts w:ascii="Arial" w:hAnsi="Arial" w:cs="Arial"/>
        </w:rPr>
      </w:pPr>
    </w:p>
    <w:p w:rsidR="006C1BE5" w:rsidRPr="003E31E0" w:rsidRDefault="006C1BE5" w:rsidP="001E7F7E">
      <w:pPr>
        <w:pStyle w:val="ListParagraph"/>
        <w:spacing w:after="0" w:afterAutospacing="0"/>
        <w:ind w:left="0"/>
        <w:contextualSpacing w:val="0"/>
        <w:jc w:val="both"/>
        <w:rPr>
          <w:rFonts w:ascii="Arial" w:hAnsi="Arial" w:cs="Arial"/>
        </w:rPr>
      </w:pPr>
    </w:p>
    <w:p w:rsidR="001E7F7E" w:rsidRPr="003E31E0" w:rsidRDefault="00B4582A" w:rsidP="001E7F7E">
      <w:pPr>
        <w:pStyle w:val="ListParagraph"/>
        <w:spacing w:after="0" w:afterAutospacing="0"/>
        <w:ind w:left="0"/>
        <w:contextualSpacing w:val="0"/>
        <w:jc w:val="both"/>
        <w:rPr>
          <w:rFonts w:ascii="Arial" w:hAnsi="Arial" w:cs="Arial"/>
          <w:b/>
        </w:rPr>
      </w:pPr>
      <w:r w:rsidRPr="003E31E0">
        <w:rPr>
          <w:rFonts w:ascii="Arial" w:hAnsi="Arial" w:cs="Arial"/>
          <w:b/>
        </w:rPr>
        <w:t xml:space="preserve">AUDIT </w:t>
      </w:r>
      <w:r w:rsidR="001E7F7E" w:rsidRPr="003E31E0">
        <w:rPr>
          <w:rFonts w:ascii="Arial" w:hAnsi="Arial" w:cs="Arial"/>
          <w:b/>
        </w:rPr>
        <w:t>DISALLOWANCE</w:t>
      </w:r>
      <w:r w:rsidRPr="003E31E0">
        <w:rPr>
          <w:rFonts w:ascii="Arial" w:hAnsi="Arial" w:cs="Arial"/>
          <w:b/>
        </w:rPr>
        <w:t>S</w:t>
      </w:r>
      <w:r w:rsidR="001E7F7E" w:rsidRPr="003E31E0">
        <w:rPr>
          <w:rFonts w:ascii="Arial" w:hAnsi="Arial" w:cs="Arial"/>
          <w:b/>
        </w:rPr>
        <w:t>, CHARGES AND SUSPENSIONS</w:t>
      </w:r>
    </w:p>
    <w:p w:rsidR="000F2A3C" w:rsidRPr="003E31E0" w:rsidRDefault="000F2A3C" w:rsidP="000F2A3C">
      <w:pPr>
        <w:pStyle w:val="ListParagraph"/>
        <w:spacing w:after="0" w:afterAutospacing="0"/>
        <w:ind w:left="0"/>
        <w:contextualSpacing w:val="0"/>
        <w:jc w:val="both"/>
        <w:rPr>
          <w:rFonts w:ascii="Arial" w:hAnsi="Arial" w:cs="Arial"/>
        </w:rPr>
      </w:pPr>
    </w:p>
    <w:p w:rsidR="00B66B5E" w:rsidRPr="003E31E0" w:rsidRDefault="00B66B5E" w:rsidP="00B66B5E">
      <w:pPr>
        <w:tabs>
          <w:tab w:val="left" w:pos="720"/>
        </w:tabs>
        <w:spacing w:after="0" w:line="240" w:lineRule="auto"/>
        <w:jc w:val="both"/>
        <w:rPr>
          <w:rFonts w:eastAsia="Calibri"/>
          <w:color w:val="auto"/>
        </w:rPr>
      </w:pPr>
      <w:r w:rsidRPr="003E31E0">
        <w:rPr>
          <w:color w:val="auto"/>
        </w:rPr>
        <w:t xml:space="preserve">The unsettled audit disallowances and suspensions as of December 31, 2014 totaled to P21.688 million and P25,247, respectively. There was no Notice of Charge issued during the year neither unsettled charges at year-end. The status of audit disallowances and suspensions as of December 31, 2014 is presented in Annex A. </w:t>
      </w:r>
    </w:p>
    <w:p w:rsidR="00EB458D" w:rsidRPr="003E31E0" w:rsidRDefault="00EB458D" w:rsidP="000F2A3C">
      <w:pPr>
        <w:pStyle w:val="ListParagraph"/>
        <w:spacing w:after="0" w:afterAutospacing="0"/>
        <w:ind w:left="0"/>
        <w:contextualSpacing w:val="0"/>
        <w:jc w:val="both"/>
        <w:rPr>
          <w:rFonts w:ascii="Arial" w:hAnsi="Arial" w:cs="Arial"/>
        </w:rPr>
      </w:pPr>
    </w:p>
    <w:p w:rsidR="00B4582A" w:rsidRPr="003E31E0" w:rsidRDefault="00B4582A" w:rsidP="000F2A3C">
      <w:pPr>
        <w:pStyle w:val="ListParagraph"/>
        <w:spacing w:after="0" w:afterAutospacing="0"/>
        <w:ind w:left="0"/>
        <w:contextualSpacing w:val="0"/>
        <w:jc w:val="both"/>
        <w:rPr>
          <w:rFonts w:ascii="Arial" w:hAnsi="Arial" w:cs="Arial"/>
        </w:rPr>
      </w:pPr>
    </w:p>
    <w:p w:rsidR="00EB458D" w:rsidRPr="003E31E0" w:rsidRDefault="00EB458D" w:rsidP="000F2A3C">
      <w:pPr>
        <w:pStyle w:val="ListParagraph"/>
        <w:spacing w:after="0" w:afterAutospacing="0"/>
        <w:ind w:left="0"/>
        <w:contextualSpacing w:val="0"/>
        <w:jc w:val="both"/>
        <w:rPr>
          <w:rFonts w:ascii="Arial" w:hAnsi="Arial" w:cs="Arial"/>
          <w:b/>
        </w:rPr>
      </w:pPr>
      <w:r w:rsidRPr="003E31E0">
        <w:rPr>
          <w:rFonts w:ascii="Arial" w:hAnsi="Arial" w:cs="Arial"/>
          <w:b/>
        </w:rPr>
        <w:t>STATUS OF IMPLEMENTATION BY THE AUDITEE OF PRIOR YEARS’ AUDIT RECOMMENDATIONS</w:t>
      </w:r>
    </w:p>
    <w:p w:rsidR="00EB458D" w:rsidRPr="003E31E0" w:rsidRDefault="00EB458D" w:rsidP="000F2A3C">
      <w:pPr>
        <w:pStyle w:val="ListParagraph"/>
        <w:spacing w:after="0" w:afterAutospacing="0"/>
        <w:ind w:left="0"/>
        <w:contextualSpacing w:val="0"/>
        <w:jc w:val="both"/>
        <w:rPr>
          <w:rFonts w:ascii="Arial" w:hAnsi="Arial" w:cs="Arial"/>
          <w:b/>
        </w:rPr>
      </w:pPr>
    </w:p>
    <w:p w:rsidR="00EB458D" w:rsidRPr="00C91080" w:rsidRDefault="00EB458D" w:rsidP="000F2A3C">
      <w:pPr>
        <w:pStyle w:val="ListParagraph"/>
        <w:spacing w:after="0" w:afterAutospacing="0"/>
        <w:ind w:left="0"/>
        <w:contextualSpacing w:val="0"/>
        <w:jc w:val="both"/>
        <w:rPr>
          <w:rFonts w:ascii="Arial" w:hAnsi="Arial" w:cs="Arial"/>
          <w:b/>
        </w:rPr>
      </w:pPr>
      <w:r w:rsidRPr="00C91080">
        <w:rPr>
          <w:rFonts w:ascii="Arial" w:hAnsi="Arial" w:cs="Arial"/>
        </w:rPr>
        <w:t>Out of the 3</w:t>
      </w:r>
      <w:r w:rsidR="000C3BBA">
        <w:rPr>
          <w:rFonts w:ascii="Arial" w:hAnsi="Arial" w:cs="Arial"/>
        </w:rPr>
        <w:t>7</w:t>
      </w:r>
      <w:r w:rsidRPr="00C91080">
        <w:rPr>
          <w:rFonts w:ascii="Arial" w:hAnsi="Arial" w:cs="Arial"/>
        </w:rPr>
        <w:t xml:space="preserve"> audit recommendations embodied in the previous years’ Annual Audit Reports (AARs), 1</w:t>
      </w:r>
      <w:r w:rsidR="000C3BBA">
        <w:rPr>
          <w:rFonts w:ascii="Arial" w:hAnsi="Arial" w:cs="Arial"/>
        </w:rPr>
        <w:t>3</w:t>
      </w:r>
      <w:r w:rsidRPr="00C91080">
        <w:rPr>
          <w:rFonts w:ascii="Arial" w:hAnsi="Arial" w:cs="Arial"/>
        </w:rPr>
        <w:t xml:space="preserve"> were fully implemented, 18 were partially implemented and 6 were not implemented. Details are presented in Part III of this report.</w:t>
      </w:r>
    </w:p>
    <w:sectPr w:rsidR="00EB458D" w:rsidRPr="00C91080" w:rsidSect="00BC0D5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72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825" w:rsidRDefault="002A5825" w:rsidP="003E31E0">
      <w:pPr>
        <w:spacing w:after="0" w:line="240" w:lineRule="auto"/>
      </w:pPr>
      <w:r>
        <w:separator/>
      </w:r>
    </w:p>
  </w:endnote>
  <w:endnote w:type="continuationSeparator" w:id="0">
    <w:p w:rsidR="002A5825" w:rsidRDefault="002A5825" w:rsidP="003E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221" w:rsidRDefault="00FE42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23745"/>
      <w:docPartObj>
        <w:docPartGallery w:val="Page Numbers (Bottom of Page)"/>
        <w:docPartUnique/>
      </w:docPartObj>
    </w:sdtPr>
    <w:sdtEndPr>
      <w:rPr>
        <w:color w:val="000000" w:themeColor="text1"/>
      </w:rPr>
    </w:sdtEndPr>
    <w:sdtContent>
      <w:p w:rsidR="003E31E0" w:rsidRPr="00FE4221" w:rsidRDefault="00BB3379">
        <w:pPr>
          <w:pStyle w:val="Footer"/>
          <w:jc w:val="right"/>
          <w:rPr>
            <w:color w:val="000000" w:themeColor="text1"/>
          </w:rPr>
        </w:pPr>
        <w:r w:rsidRPr="00FE4221">
          <w:rPr>
            <w:color w:val="000000" w:themeColor="text1"/>
          </w:rPr>
          <w:fldChar w:fldCharType="begin"/>
        </w:r>
        <w:r w:rsidR="00461A0F" w:rsidRPr="00FE4221">
          <w:rPr>
            <w:color w:val="000000" w:themeColor="text1"/>
          </w:rPr>
          <w:instrText xml:space="preserve"> PAGE   \* MERGEFORMAT </w:instrText>
        </w:r>
        <w:r w:rsidRPr="00FE4221">
          <w:rPr>
            <w:color w:val="000000" w:themeColor="text1"/>
          </w:rPr>
          <w:fldChar w:fldCharType="separate"/>
        </w:r>
        <w:r w:rsidR="005F31F1">
          <w:rPr>
            <w:noProof/>
            <w:color w:val="000000" w:themeColor="text1"/>
          </w:rPr>
          <w:t>i</w:t>
        </w:r>
        <w:r w:rsidRPr="00FE4221">
          <w:rPr>
            <w:color w:val="000000" w:themeColor="text1"/>
          </w:rPr>
          <w:fldChar w:fldCharType="end"/>
        </w:r>
      </w:p>
    </w:sdtContent>
  </w:sdt>
  <w:p w:rsidR="003E31E0" w:rsidRDefault="003E31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221" w:rsidRDefault="00FE42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825" w:rsidRDefault="002A5825" w:rsidP="003E31E0">
      <w:pPr>
        <w:spacing w:after="0" w:line="240" w:lineRule="auto"/>
      </w:pPr>
      <w:r>
        <w:separator/>
      </w:r>
    </w:p>
  </w:footnote>
  <w:footnote w:type="continuationSeparator" w:id="0">
    <w:p w:rsidR="002A5825" w:rsidRDefault="002A5825" w:rsidP="003E3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221" w:rsidRDefault="00FE42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221" w:rsidRDefault="00FE42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221" w:rsidRDefault="00FE42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6CC4"/>
    <w:multiLevelType w:val="hybridMultilevel"/>
    <w:tmpl w:val="F05A6D0A"/>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 w15:restartNumberingAfterBreak="0">
    <w:nsid w:val="0F9A34D6"/>
    <w:multiLevelType w:val="hybridMultilevel"/>
    <w:tmpl w:val="629C86AC"/>
    <w:lvl w:ilvl="0" w:tplc="083EAE18">
      <w:start w:val="1"/>
      <w:numFmt w:val="lowerLetter"/>
      <w:lvlText w:val="%1."/>
      <w:lvlJc w:val="left"/>
      <w:pPr>
        <w:ind w:left="1800" w:hanging="360"/>
      </w:pPr>
      <w:rPr>
        <w:rFonts w:cs="Times New Roman" w:hint="default"/>
      </w:rPr>
    </w:lvl>
    <w:lvl w:ilvl="1" w:tplc="34090019">
      <w:start w:val="1"/>
      <w:numFmt w:val="lowerLetter"/>
      <w:lvlText w:val="%2."/>
      <w:lvlJc w:val="left"/>
      <w:pPr>
        <w:ind w:left="2520" w:hanging="360"/>
      </w:pPr>
      <w:rPr>
        <w:rFonts w:cs="Times New Roman"/>
      </w:rPr>
    </w:lvl>
    <w:lvl w:ilvl="2" w:tplc="3409001B">
      <w:start w:val="1"/>
      <w:numFmt w:val="lowerRoman"/>
      <w:lvlText w:val="%3."/>
      <w:lvlJc w:val="right"/>
      <w:pPr>
        <w:ind w:left="3240" w:hanging="180"/>
      </w:pPr>
      <w:rPr>
        <w:rFonts w:cs="Times New Roman"/>
      </w:rPr>
    </w:lvl>
    <w:lvl w:ilvl="3" w:tplc="3409000F">
      <w:start w:val="1"/>
      <w:numFmt w:val="decimal"/>
      <w:lvlText w:val="%4."/>
      <w:lvlJc w:val="left"/>
      <w:pPr>
        <w:ind w:left="3960" w:hanging="360"/>
      </w:pPr>
      <w:rPr>
        <w:rFonts w:cs="Times New Roman"/>
      </w:rPr>
    </w:lvl>
    <w:lvl w:ilvl="4" w:tplc="34090019">
      <w:start w:val="1"/>
      <w:numFmt w:val="lowerLetter"/>
      <w:lvlText w:val="%5."/>
      <w:lvlJc w:val="left"/>
      <w:pPr>
        <w:ind w:left="4680" w:hanging="360"/>
      </w:pPr>
      <w:rPr>
        <w:rFonts w:cs="Times New Roman"/>
      </w:rPr>
    </w:lvl>
    <w:lvl w:ilvl="5" w:tplc="3409001B">
      <w:start w:val="1"/>
      <w:numFmt w:val="lowerRoman"/>
      <w:lvlText w:val="%6."/>
      <w:lvlJc w:val="right"/>
      <w:pPr>
        <w:ind w:left="5400" w:hanging="180"/>
      </w:pPr>
      <w:rPr>
        <w:rFonts w:cs="Times New Roman"/>
      </w:rPr>
    </w:lvl>
    <w:lvl w:ilvl="6" w:tplc="3409000F">
      <w:start w:val="1"/>
      <w:numFmt w:val="decimal"/>
      <w:lvlText w:val="%7."/>
      <w:lvlJc w:val="left"/>
      <w:pPr>
        <w:ind w:left="6120" w:hanging="360"/>
      </w:pPr>
      <w:rPr>
        <w:rFonts w:cs="Times New Roman"/>
      </w:rPr>
    </w:lvl>
    <w:lvl w:ilvl="7" w:tplc="34090019">
      <w:start w:val="1"/>
      <w:numFmt w:val="lowerLetter"/>
      <w:lvlText w:val="%8."/>
      <w:lvlJc w:val="left"/>
      <w:pPr>
        <w:ind w:left="6840" w:hanging="360"/>
      </w:pPr>
      <w:rPr>
        <w:rFonts w:cs="Times New Roman"/>
      </w:rPr>
    </w:lvl>
    <w:lvl w:ilvl="8" w:tplc="3409001B">
      <w:start w:val="1"/>
      <w:numFmt w:val="lowerRoman"/>
      <w:lvlText w:val="%9."/>
      <w:lvlJc w:val="right"/>
      <w:pPr>
        <w:ind w:left="7560" w:hanging="180"/>
      </w:pPr>
      <w:rPr>
        <w:rFonts w:cs="Times New Roman"/>
      </w:rPr>
    </w:lvl>
  </w:abstractNum>
  <w:abstractNum w:abstractNumId="2" w15:restartNumberingAfterBreak="0">
    <w:nsid w:val="19660EA4"/>
    <w:multiLevelType w:val="hybridMultilevel"/>
    <w:tmpl w:val="E370FD22"/>
    <w:lvl w:ilvl="0" w:tplc="5AF01A78">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 w15:restartNumberingAfterBreak="0">
    <w:nsid w:val="256F4D27"/>
    <w:multiLevelType w:val="hybridMultilevel"/>
    <w:tmpl w:val="7B6411AE"/>
    <w:lvl w:ilvl="0" w:tplc="0BD2F742">
      <w:start w:val="1"/>
      <w:numFmt w:val="lowerLetter"/>
      <w:lvlText w:val="%1."/>
      <w:lvlJc w:val="left"/>
      <w:pPr>
        <w:ind w:left="2698" w:hanging="360"/>
      </w:pPr>
      <w:rPr>
        <w:rFonts w:hint="default"/>
      </w:rPr>
    </w:lvl>
    <w:lvl w:ilvl="1" w:tplc="803874D4">
      <w:start w:val="1"/>
      <w:numFmt w:val="lowerLetter"/>
      <w:lvlText w:val="%2."/>
      <w:lvlJc w:val="left"/>
      <w:pPr>
        <w:ind w:left="1260" w:hanging="360"/>
      </w:pPr>
      <w:rPr>
        <w:b/>
      </w:rPr>
    </w:lvl>
    <w:lvl w:ilvl="2" w:tplc="C1A466E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62304F"/>
    <w:multiLevelType w:val="multilevel"/>
    <w:tmpl w:val="DE2CEAB8"/>
    <w:lvl w:ilvl="0">
      <w:start w:val="1"/>
      <w:numFmt w:val="decimal"/>
      <w:lvlText w:val="%1."/>
      <w:lvlJc w:val="left"/>
      <w:pPr>
        <w:ind w:left="1440" w:hanging="360"/>
      </w:pPr>
      <w:rPr>
        <w:rFonts w:hint="default"/>
        <w:b w:val="0"/>
        <w:color w:val="auto"/>
        <w:sz w:val="22"/>
        <w:szCs w:val="22"/>
      </w:rPr>
    </w:lvl>
    <w:lvl w:ilvl="1">
      <w:start w:val="1"/>
      <w:numFmt w:val="decimal"/>
      <w:isLgl/>
      <w:lvlText w:val="%1.%2"/>
      <w:lvlJc w:val="left"/>
      <w:pPr>
        <w:ind w:left="3090" w:hanging="930"/>
      </w:pPr>
      <w:rPr>
        <w:rFonts w:hint="default"/>
        <w:b w:val="0"/>
        <w:i w:val="0"/>
        <w:color w:val="auto"/>
        <w:sz w:val="22"/>
        <w:szCs w:val="22"/>
      </w:rPr>
    </w:lvl>
    <w:lvl w:ilvl="2">
      <w:start w:val="1"/>
      <w:numFmt w:val="decimal"/>
      <w:isLgl/>
      <w:lvlText w:val="%1.%2.%3"/>
      <w:lvlJc w:val="left"/>
      <w:pPr>
        <w:ind w:left="3090" w:hanging="930"/>
      </w:pPr>
      <w:rPr>
        <w:rFonts w:hint="default"/>
        <w:b w:val="0"/>
      </w:rPr>
    </w:lvl>
    <w:lvl w:ilvl="3">
      <w:start w:val="1"/>
      <w:numFmt w:val="decimal"/>
      <w:isLgl/>
      <w:lvlText w:val="%1.%2.%3.%4"/>
      <w:lvlJc w:val="left"/>
      <w:pPr>
        <w:ind w:left="3090" w:hanging="93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 w15:restartNumberingAfterBreak="0">
    <w:nsid w:val="38FC54C4"/>
    <w:multiLevelType w:val="hybridMultilevel"/>
    <w:tmpl w:val="2904C57A"/>
    <w:lvl w:ilvl="0" w:tplc="A53A14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5B58CE"/>
    <w:multiLevelType w:val="hybridMultilevel"/>
    <w:tmpl w:val="2CBC9702"/>
    <w:lvl w:ilvl="0" w:tplc="3409000F">
      <w:start w:val="1"/>
      <w:numFmt w:val="decimal"/>
      <w:lvlText w:val="%1."/>
      <w:lvlJc w:val="left"/>
      <w:pPr>
        <w:ind w:left="1800" w:hanging="360"/>
      </w:pPr>
      <w:rPr>
        <w:rFonts w:hint="default"/>
      </w:rPr>
    </w:lvl>
    <w:lvl w:ilvl="1" w:tplc="34090019">
      <w:start w:val="1"/>
      <w:numFmt w:val="lowerLetter"/>
      <w:lvlText w:val="%2."/>
      <w:lvlJc w:val="left"/>
      <w:pPr>
        <w:ind w:left="2520" w:hanging="360"/>
      </w:pPr>
      <w:rPr>
        <w:rFonts w:cs="Times New Roman"/>
      </w:rPr>
    </w:lvl>
    <w:lvl w:ilvl="2" w:tplc="3409001B">
      <w:start w:val="1"/>
      <w:numFmt w:val="lowerRoman"/>
      <w:lvlText w:val="%3."/>
      <w:lvlJc w:val="right"/>
      <w:pPr>
        <w:ind w:left="3240" w:hanging="180"/>
      </w:pPr>
      <w:rPr>
        <w:rFonts w:cs="Times New Roman"/>
      </w:rPr>
    </w:lvl>
    <w:lvl w:ilvl="3" w:tplc="3409000F">
      <w:start w:val="1"/>
      <w:numFmt w:val="decimal"/>
      <w:lvlText w:val="%4."/>
      <w:lvlJc w:val="left"/>
      <w:pPr>
        <w:ind w:left="3960" w:hanging="360"/>
      </w:pPr>
      <w:rPr>
        <w:rFonts w:cs="Times New Roman"/>
      </w:rPr>
    </w:lvl>
    <w:lvl w:ilvl="4" w:tplc="34090019">
      <w:start w:val="1"/>
      <w:numFmt w:val="lowerLetter"/>
      <w:lvlText w:val="%5."/>
      <w:lvlJc w:val="left"/>
      <w:pPr>
        <w:ind w:left="4680" w:hanging="360"/>
      </w:pPr>
      <w:rPr>
        <w:rFonts w:cs="Times New Roman"/>
      </w:rPr>
    </w:lvl>
    <w:lvl w:ilvl="5" w:tplc="3409001B">
      <w:start w:val="1"/>
      <w:numFmt w:val="lowerRoman"/>
      <w:lvlText w:val="%6."/>
      <w:lvlJc w:val="right"/>
      <w:pPr>
        <w:ind w:left="5400" w:hanging="180"/>
      </w:pPr>
      <w:rPr>
        <w:rFonts w:cs="Times New Roman"/>
      </w:rPr>
    </w:lvl>
    <w:lvl w:ilvl="6" w:tplc="3409000F">
      <w:start w:val="1"/>
      <w:numFmt w:val="decimal"/>
      <w:lvlText w:val="%7."/>
      <w:lvlJc w:val="left"/>
      <w:pPr>
        <w:ind w:left="6120" w:hanging="360"/>
      </w:pPr>
      <w:rPr>
        <w:rFonts w:cs="Times New Roman"/>
      </w:rPr>
    </w:lvl>
    <w:lvl w:ilvl="7" w:tplc="34090019">
      <w:start w:val="1"/>
      <w:numFmt w:val="lowerLetter"/>
      <w:lvlText w:val="%8."/>
      <w:lvlJc w:val="left"/>
      <w:pPr>
        <w:ind w:left="6840" w:hanging="360"/>
      </w:pPr>
      <w:rPr>
        <w:rFonts w:cs="Times New Roman"/>
      </w:rPr>
    </w:lvl>
    <w:lvl w:ilvl="8" w:tplc="3409001B">
      <w:start w:val="1"/>
      <w:numFmt w:val="lowerRoman"/>
      <w:lvlText w:val="%9."/>
      <w:lvlJc w:val="right"/>
      <w:pPr>
        <w:ind w:left="7560" w:hanging="180"/>
      </w:pPr>
      <w:rPr>
        <w:rFonts w:cs="Times New Roman"/>
      </w:rPr>
    </w:lvl>
  </w:abstractNum>
  <w:abstractNum w:abstractNumId="7" w15:restartNumberingAfterBreak="0">
    <w:nsid w:val="3DC02FA6"/>
    <w:multiLevelType w:val="hybridMultilevel"/>
    <w:tmpl w:val="75F242E2"/>
    <w:lvl w:ilvl="0" w:tplc="B1A0FCB0">
      <w:start w:val="1"/>
      <w:numFmt w:val="lowerLetter"/>
      <w:lvlText w:val="%1."/>
      <w:lvlJc w:val="left"/>
      <w:pPr>
        <w:ind w:left="2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821B64"/>
    <w:multiLevelType w:val="hybridMultilevel"/>
    <w:tmpl w:val="66787B22"/>
    <w:lvl w:ilvl="0" w:tplc="35F44886">
      <w:start w:val="1"/>
      <w:numFmt w:val="lowerLetter"/>
      <w:lvlText w:val="%1."/>
      <w:lvlJc w:val="left"/>
      <w:pPr>
        <w:ind w:left="810" w:hanging="810"/>
      </w:pPr>
      <w:rPr>
        <w:rFonts w:hint="default"/>
        <w:color w:val="auto"/>
      </w:rPr>
    </w:lvl>
    <w:lvl w:ilvl="1" w:tplc="04090019">
      <w:start w:val="1"/>
      <w:numFmt w:val="lowerLetter"/>
      <w:lvlText w:val="%2."/>
      <w:lvlJc w:val="left"/>
      <w:pPr>
        <w:ind w:left="-450" w:hanging="360"/>
      </w:pPr>
    </w:lvl>
    <w:lvl w:ilvl="2" w:tplc="0409001B" w:tentative="1">
      <w:start w:val="1"/>
      <w:numFmt w:val="lowerRoman"/>
      <w:lvlText w:val="%3."/>
      <w:lvlJc w:val="right"/>
      <w:pPr>
        <w:ind w:left="270" w:hanging="180"/>
      </w:pPr>
    </w:lvl>
    <w:lvl w:ilvl="3" w:tplc="0409000F" w:tentative="1">
      <w:start w:val="1"/>
      <w:numFmt w:val="decimal"/>
      <w:lvlText w:val="%4."/>
      <w:lvlJc w:val="left"/>
      <w:pPr>
        <w:ind w:left="990" w:hanging="360"/>
      </w:pPr>
    </w:lvl>
    <w:lvl w:ilvl="4" w:tplc="04090019" w:tentative="1">
      <w:start w:val="1"/>
      <w:numFmt w:val="lowerLetter"/>
      <w:lvlText w:val="%5."/>
      <w:lvlJc w:val="left"/>
      <w:pPr>
        <w:ind w:left="1710" w:hanging="360"/>
      </w:pPr>
    </w:lvl>
    <w:lvl w:ilvl="5" w:tplc="0409001B" w:tentative="1">
      <w:start w:val="1"/>
      <w:numFmt w:val="lowerRoman"/>
      <w:lvlText w:val="%6."/>
      <w:lvlJc w:val="right"/>
      <w:pPr>
        <w:ind w:left="2430" w:hanging="180"/>
      </w:pPr>
    </w:lvl>
    <w:lvl w:ilvl="6" w:tplc="0409000F" w:tentative="1">
      <w:start w:val="1"/>
      <w:numFmt w:val="decimal"/>
      <w:lvlText w:val="%7."/>
      <w:lvlJc w:val="left"/>
      <w:pPr>
        <w:ind w:left="3150" w:hanging="360"/>
      </w:pPr>
    </w:lvl>
    <w:lvl w:ilvl="7" w:tplc="04090019" w:tentative="1">
      <w:start w:val="1"/>
      <w:numFmt w:val="lowerLetter"/>
      <w:lvlText w:val="%8."/>
      <w:lvlJc w:val="left"/>
      <w:pPr>
        <w:ind w:left="3870" w:hanging="360"/>
      </w:pPr>
    </w:lvl>
    <w:lvl w:ilvl="8" w:tplc="0409001B" w:tentative="1">
      <w:start w:val="1"/>
      <w:numFmt w:val="lowerRoman"/>
      <w:lvlText w:val="%9."/>
      <w:lvlJc w:val="right"/>
      <w:pPr>
        <w:ind w:left="4590" w:hanging="180"/>
      </w:pPr>
    </w:lvl>
  </w:abstractNum>
  <w:abstractNum w:abstractNumId="9" w15:restartNumberingAfterBreak="0">
    <w:nsid w:val="5EE83174"/>
    <w:multiLevelType w:val="hybridMultilevel"/>
    <w:tmpl w:val="FAAE8A20"/>
    <w:lvl w:ilvl="0" w:tplc="3409000F">
      <w:start w:val="1"/>
      <w:numFmt w:val="decimal"/>
      <w:lvlText w:val="%1."/>
      <w:lvlJc w:val="left"/>
      <w:pPr>
        <w:ind w:left="1800" w:hanging="360"/>
      </w:pPr>
      <w:rPr>
        <w:rFonts w:hint="default"/>
      </w:rPr>
    </w:lvl>
    <w:lvl w:ilvl="1" w:tplc="34090019">
      <w:start w:val="1"/>
      <w:numFmt w:val="lowerLetter"/>
      <w:lvlText w:val="%2."/>
      <w:lvlJc w:val="left"/>
      <w:pPr>
        <w:ind w:left="2520" w:hanging="360"/>
      </w:pPr>
      <w:rPr>
        <w:rFonts w:cs="Times New Roman"/>
      </w:rPr>
    </w:lvl>
    <w:lvl w:ilvl="2" w:tplc="3409001B">
      <w:start w:val="1"/>
      <w:numFmt w:val="lowerRoman"/>
      <w:lvlText w:val="%3."/>
      <w:lvlJc w:val="right"/>
      <w:pPr>
        <w:ind w:left="3240" w:hanging="180"/>
      </w:pPr>
      <w:rPr>
        <w:rFonts w:cs="Times New Roman"/>
      </w:rPr>
    </w:lvl>
    <w:lvl w:ilvl="3" w:tplc="3409000F">
      <w:start w:val="1"/>
      <w:numFmt w:val="decimal"/>
      <w:lvlText w:val="%4."/>
      <w:lvlJc w:val="left"/>
      <w:pPr>
        <w:ind w:left="3960" w:hanging="360"/>
      </w:pPr>
      <w:rPr>
        <w:rFonts w:cs="Times New Roman"/>
      </w:rPr>
    </w:lvl>
    <w:lvl w:ilvl="4" w:tplc="34090019">
      <w:start w:val="1"/>
      <w:numFmt w:val="lowerLetter"/>
      <w:lvlText w:val="%5."/>
      <w:lvlJc w:val="left"/>
      <w:pPr>
        <w:ind w:left="4680" w:hanging="360"/>
      </w:pPr>
      <w:rPr>
        <w:rFonts w:cs="Times New Roman"/>
      </w:rPr>
    </w:lvl>
    <w:lvl w:ilvl="5" w:tplc="3409001B">
      <w:start w:val="1"/>
      <w:numFmt w:val="lowerRoman"/>
      <w:lvlText w:val="%6."/>
      <w:lvlJc w:val="right"/>
      <w:pPr>
        <w:ind w:left="5400" w:hanging="180"/>
      </w:pPr>
      <w:rPr>
        <w:rFonts w:cs="Times New Roman"/>
      </w:rPr>
    </w:lvl>
    <w:lvl w:ilvl="6" w:tplc="3409000F">
      <w:start w:val="1"/>
      <w:numFmt w:val="decimal"/>
      <w:lvlText w:val="%7."/>
      <w:lvlJc w:val="left"/>
      <w:pPr>
        <w:ind w:left="6120" w:hanging="360"/>
      </w:pPr>
      <w:rPr>
        <w:rFonts w:cs="Times New Roman"/>
      </w:rPr>
    </w:lvl>
    <w:lvl w:ilvl="7" w:tplc="34090019">
      <w:start w:val="1"/>
      <w:numFmt w:val="lowerLetter"/>
      <w:lvlText w:val="%8."/>
      <w:lvlJc w:val="left"/>
      <w:pPr>
        <w:ind w:left="6840" w:hanging="360"/>
      </w:pPr>
      <w:rPr>
        <w:rFonts w:cs="Times New Roman"/>
      </w:rPr>
    </w:lvl>
    <w:lvl w:ilvl="8" w:tplc="3409001B">
      <w:start w:val="1"/>
      <w:numFmt w:val="lowerRoman"/>
      <w:lvlText w:val="%9."/>
      <w:lvlJc w:val="right"/>
      <w:pPr>
        <w:ind w:left="7560" w:hanging="180"/>
      </w:pPr>
      <w:rPr>
        <w:rFonts w:cs="Times New Roman"/>
      </w:rPr>
    </w:lvl>
  </w:abstractNum>
  <w:abstractNum w:abstractNumId="10" w15:restartNumberingAfterBreak="0">
    <w:nsid w:val="60AA2839"/>
    <w:multiLevelType w:val="hybridMultilevel"/>
    <w:tmpl w:val="AE5441E0"/>
    <w:lvl w:ilvl="0" w:tplc="3409000F">
      <w:start w:val="1"/>
      <w:numFmt w:val="decimal"/>
      <w:lvlText w:val="%1."/>
      <w:lvlJc w:val="left"/>
      <w:pPr>
        <w:ind w:left="1275" w:hanging="360"/>
      </w:pPr>
    </w:lvl>
    <w:lvl w:ilvl="1" w:tplc="34090019" w:tentative="1">
      <w:start w:val="1"/>
      <w:numFmt w:val="lowerLetter"/>
      <w:lvlText w:val="%2."/>
      <w:lvlJc w:val="left"/>
      <w:pPr>
        <w:ind w:left="1995" w:hanging="360"/>
      </w:pPr>
    </w:lvl>
    <w:lvl w:ilvl="2" w:tplc="3409001B" w:tentative="1">
      <w:start w:val="1"/>
      <w:numFmt w:val="lowerRoman"/>
      <w:lvlText w:val="%3."/>
      <w:lvlJc w:val="right"/>
      <w:pPr>
        <w:ind w:left="2715" w:hanging="180"/>
      </w:pPr>
    </w:lvl>
    <w:lvl w:ilvl="3" w:tplc="3409000F" w:tentative="1">
      <w:start w:val="1"/>
      <w:numFmt w:val="decimal"/>
      <w:lvlText w:val="%4."/>
      <w:lvlJc w:val="left"/>
      <w:pPr>
        <w:ind w:left="3435" w:hanging="360"/>
      </w:pPr>
    </w:lvl>
    <w:lvl w:ilvl="4" w:tplc="34090019" w:tentative="1">
      <w:start w:val="1"/>
      <w:numFmt w:val="lowerLetter"/>
      <w:lvlText w:val="%5."/>
      <w:lvlJc w:val="left"/>
      <w:pPr>
        <w:ind w:left="4155" w:hanging="360"/>
      </w:pPr>
    </w:lvl>
    <w:lvl w:ilvl="5" w:tplc="3409001B" w:tentative="1">
      <w:start w:val="1"/>
      <w:numFmt w:val="lowerRoman"/>
      <w:lvlText w:val="%6."/>
      <w:lvlJc w:val="right"/>
      <w:pPr>
        <w:ind w:left="4875" w:hanging="180"/>
      </w:pPr>
    </w:lvl>
    <w:lvl w:ilvl="6" w:tplc="3409000F" w:tentative="1">
      <w:start w:val="1"/>
      <w:numFmt w:val="decimal"/>
      <w:lvlText w:val="%7."/>
      <w:lvlJc w:val="left"/>
      <w:pPr>
        <w:ind w:left="5595" w:hanging="360"/>
      </w:pPr>
    </w:lvl>
    <w:lvl w:ilvl="7" w:tplc="34090019" w:tentative="1">
      <w:start w:val="1"/>
      <w:numFmt w:val="lowerLetter"/>
      <w:lvlText w:val="%8."/>
      <w:lvlJc w:val="left"/>
      <w:pPr>
        <w:ind w:left="6315" w:hanging="360"/>
      </w:pPr>
    </w:lvl>
    <w:lvl w:ilvl="8" w:tplc="3409001B" w:tentative="1">
      <w:start w:val="1"/>
      <w:numFmt w:val="lowerRoman"/>
      <w:lvlText w:val="%9."/>
      <w:lvlJc w:val="right"/>
      <w:pPr>
        <w:ind w:left="7035" w:hanging="180"/>
      </w:pPr>
    </w:lvl>
  </w:abstractNum>
  <w:abstractNum w:abstractNumId="11" w15:restartNumberingAfterBreak="0">
    <w:nsid w:val="6E1153B8"/>
    <w:multiLevelType w:val="hybridMultilevel"/>
    <w:tmpl w:val="1E5625B2"/>
    <w:lvl w:ilvl="0" w:tplc="971EEB08">
      <w:start w:val="1"/>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A522BC"/>
    <w:multiLevelType w:val="hybridMultilevel"/>
    <w:tmpl w:val="8F808B06"/>
    <w:lvl w:ilvl="0" w:tplc="3776F96A">
      <w:start w:val="1"/>
      <w:numFmt w:val="lowerLetter"/>
      <w:lvlText w:val="%1."/>
      <w:lvlJc w:val="left"/>
      <w:pPr>
        <w:ind w:left="2700" w:hanging="810"/>
      </w:pPr>
      <w:rPr>
        <w:rFonts w:hint="default"/>
      </w:rPr>
    </w:lvl>
    <w:lvl w:ilvl="1" w:tplc="EFE02498">
      <w:start w:val="1"/>
      <w:numFmt w:val="lowerLetter"/>
      <w:lvlText w:val="%2."/>
      <w:lvlJc w:val="left"/>
      <w:pPr>
        <w:ind w:left="2970" w:hanging="360"/>
      </w:pPr>
      <w:rPr>
        <w:rFonts w:hint="default"/>
      </w:rPr>
    </w:lvl>
    <w:lvl w:ilvl="2" w:tplc="3C76C5CA" w:tentative="1">
      <w:start w:val="1"/>
      <w:numFmt w:val="lowerRoman"/>
      <w:lvlText w:val="%3."/>
      <w:lvlJc w:val="right"/>
      <w:pPr>
        <w:ind w:left="3690" w:hanging="180"/>
      </w:pPr>
    </w:lvl>
    <w:lvl w:ilvl="3" w:tplc="6868FEB2" w:tentative="1">
      <w:start w:val="1"/>
      <w:numFmt w:val="decimal"/>
      <w:lvlText w:val="%4."/>
      <w:lvlJc w:val="left"/>
      <w:pPr>
        <w:ind w:left="4410" w:hanging="360"/>
      </w:pPr>
    </w:lvl>
    <w:lvl w:ilvl="4" w:tplc="BA746F7A" w:tentative="1">
      <w:start w:val="1"/>
      <w:numFmt w:val="lowerLetter"/>
      <w:lvlText w:val="%5."/>
      <w:lvlJc w:val="left"/>
      <w:pPr>
        <w:ind w:left="5130" w:hanging="360"/>
      </w:pPr>
    </w:lvl>
    <w:lvl w:ilvl="5" w:tplc="2D1863AA" w:tentative="1">
      <w:start w:val="1"/>
      <w:numFmt w:val="lowerRoman"/>
      <w:lvlText w:val="%6."/>
      <w:lvlJc w:val="right"/>
      <w:pPr>
        <w:ind w:left="5850" w:hanging="180"/>
      </w:pPr>
    </w:lvl>
    <w:lvl w:ilvl="6" w:tplc="F85ED00A" w:tentative="1">
      <w:start w:val="1"/>
      <w:numFmt w:val="decimal"/>
      <w:lvlText w:val="%7."/>
      <w:lvlJc w:val="left"/>
      <w:pPr>
        <w:ind w:left="6570" w:hanging="360"/>
      </w:pPr>
    </w:lvl>
    <w:lvl w:ilvl="7" w:tplc="A5ECEF9C" w:tentative="1">
      <w:start w:val="1"/>
      <w:numFmt w:val="lowerLetter"/>
      <w:lvlText w:val="%8."/>
      <w:lvlJc w:val="left"/>
      <w:pPr>
        <w:ind w:left="7290" w:hanging="360"/>
      </w:pPr>
    </w:lvl>
    <w:lvl w:ilvl="8" w:tplc="F086C9AE" w:tentative="1">
      <w:start w:val="1"/>
      <w:numFmt w:val="lowerRoman"/>
      <w:lvlText w:val="%9."/>
      <w:lvlJc w:val="right"/>
      <w:pPr>
        <w:ind w:left="8010" w:hanging="180"/>
      </w:pPr>
    </w:lvl>
  </w:abstractNum>
  <w:num w:numId="1">
    <w:abstractNumId w:val="10"/>
  </w:num>
  <w:num w:numId="2">
    <w:abstractNumId w:val="6"/>
  </w:num>
  <w:num w:numId="3">
    <w:abstractNumId w:val="1"/>
  </w:num>
  <w:num w:numId="4">
    <w:abstractNumId w:val="0"/>
  </w:num>
  <w:num w:numId="5">
    <w:abstractNumId w:val="9"/>
  </w:num>
  <w:num w:numId="6">
    <w:abstractNumId w:val="4"/>
  </w:num>
  <w:num w:numId="7">
    <w:abstractNumId w:val="3"/>
  </w:num>
  <w:num w:numId="8">
    <w:abstractNumId w:val="2"/>
  </w:num>
  <w:num w:numId="9">
    <w:abstractNumId w:val="12"/>
  </w:num>
  <w:num w:numId="10">
    <w:abstractNumId w:val="11"/>
  </w:num>
  <w:num w:numId="11">
    <w:abstractNumId w:val="8"/>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XOlhUVedv1rTDX56p4BVuW1f8A+YhmnOQtp/4s/6FpvJR7oh8Z+slaB4saoGotpk6NuVU5rpldOVhTaj2Iynw==" w:salt="fXHRNWM2dlSWbhQoA7V3Sg=="/>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C3363"/>
    <w:rsid w:val="0000045B"/>
    <w:rsid w:val="00000B18"/>
    <w:rsid w:val="00000E85"/>
    <w:rsid w:val="00000EB7"/>
    <w:rsid w:val="000012EE"/>
    <w:rsid w:val="0000154B"/>
    <w:rsid w:val="0000255B"/>
    <w:rsid w:val="0000288D"/>
    <w:rsid w:val="00002AEA"/>
    <w:rsid w:val="0000321D"/>
    <w:rsid w:val="0000343C"/>
    <w:rsid w:val="00003593"/>
    <w:rsid w:val="00004E32"/>
    <w:rsid w:val="00005B6B"/>
    <w:rsid w:val="00005D85"/>
    <w:rsid w:val="00006829"/>
    <w:rsid w:val="00006C8B"/>
    <w:rsid w:val="00006FA2"/>
    <w:rsid w:val="0000706F"/>
    <w:rsid w:val="00007462"/>
    <w:rsid w:val="000079BB"/>
    <w:rsid w:val="00007E76"/>
    <w:rsid w:val="0001034E"/>
    <w:rsid w:val="000103AE"/>
    <w:rsid w:val="00010E1C"/>
    <w:rsid w:val="00011EEC"/>
    <w:rsid w:val="00013059"/>
    <w:rsid w:val="0001518E"/>
    <w:rsid w:val="0001649C"/>
    <w:rsid w:val="00016642"/>
    <w:rsid w:val="00016F91"/>
    <w:rsid w:val="000171D1"/>
    <w:rsid w:val="000212A6"/>
    <w:rsid w:val="00021456"/>
    <w:rsid w:val="00021C4C"/>
    <w:rsid w:val="00021CA5"/>
    <w:rsid w:val="000221E5"/>
    <w:rsid w:val="0002237B"/>
    <w:rsid w:val="000243FA"/>
    <w:rsid w:val="000249A7"/>
    <w:rsid w:val="00024BC7"/>
    <w:rsid w:val="00024F0B"/>
    <w:rsid w:val="00025664"/>
    <w:rsid w:val="000267A5"/>
    <w:rsid w:val="00026F4D"/>
    <w:rsid w:val="000271CA"/>
    <w:rsid w:val="0003010B"/>
    <w:rsid w:val="0003032F"/>
    <w:rsid w:val="000304B9"/>
    <w:rsid w:val="00030C85"/>
    <w:rsid w:val="000316A8"/>
    <w:rsid w:val="00031727"/>
    <w:rsid w:val="00032288"/>
    <w:rsid w:val="0003352B"/>
    <w:rsid w:val="00033D9A"/>
    <w:rsid w:val="00034722"/>
    <w:rsid w:val="00034BE4"/>
    <w:rsid w:val="00034C4E"/>
    <w:rsid w:val="00035410"/>
    <w:rsid w:val="00036032"/>
    <w:rsid w:val="000360DB"/>
    <w:rsid w:val="00036511"/>
    <w:rsid w:val="00037535"/>
    <w:rsid w:val="00037691"/>
    <w:rsid w:val="000378F1"/>
    <w:rsid w:val="00037FFA"/>
    <w:rsid w:val="00041E0E"/>
    <w:rsid w:val="00042B23"/>
    <w:rsid w:val="0004390E"/>
    <w:rsid w:val="000443A1"/>
    <w:rsid w:val="00044979"/>
    <w:rsid w:val="00045C3A"/>
    <w:rsid w:val="00046B92"/>
    <w:rsid w:val="00046CAE"/>
    <w:rsid w:val="000471ED"/>
    <w:rsid w:val="00050512"/>
    <w:rsid w:val="000510FB"/>
    <w:rsid w:val="00052194"/>
    <w:rsid w:val="000522B3"/>
    <w:rsid w:val="00052576"/>
    <w:rsid w:val="00052AE3"/>
    <w:rsid w:val="00052FEF"/>
    <w:rsid w:val="00053283"/>
    <w:rsid w:val="00053531"/>
    <w:rsid w:val="000541D6"/>
    <w:rsid w:val="000542A6"/>
    <w:rsid w:val="00054A0C"/>
    <w:rsid w:val="00054BB5"/>
    <w:rsid w:val="000554AF"/>
    <w:rsid w:val="0005572F"/>
    <w:rsid w:val="00055D1B"/>
    <w:rsid w:val="00055EBE"/>
    <w:rsid w:val="0005650A"/>
    <w:rsid w:val="00056B55"/>
    <w:rsid w:val="00056EF2"/>
    <w:rsid w:val="00056FB1"/>
    <w:rsid w:val="00057EDE"/>
    <w:rsid w:val="00060605"/>
    <w:rsid w:val="0006065E"/>
    <w:rsid w:val="0006123A"/>
    <w:rsid w:val="0006191F"/>
    <w:rsid w:val="00061A43"/>
    <w:rsid w:val="00061C41"/>
    <w:rsid w:val="000622C8"/>
    <w:rsid w:val="00062ACC"/>
    <w:rsid w:val="00062E4A"/>
    <w:rsid w:val="00063C10"/>
    <w:rsid w:val="000643E4"/>
    <w:rsid w:val="00064412"/>
    <w:rsid w:val="00065505"/>
    <w:rsid w:val="000657E4"/>
    <w:rsid w:val="0006624C"/>
    <w:rsid w:val="00066816"/>
    <w:rsid w:val="000676A7"/>
    <w:rsid w:val="000677BC"/>
    <w:rsid w:val="0006786F"/>
    <w:rsid w:val="00067EF9"/>
    <w:rsid w:val="000707B6"/>
    <w:rsid w:val="0007132C"/>
    <w:rsid w:val="000725F5"/>
    <w:rsid w:val="00072EC4"/>
    <w:rsid w:val="00073607"/>
    <w:rsid w:val="00073D03"/>
    <w:rsid w:val="00074234"/>
    <w:rsid w:val="000755F7"/>
    <w:rsid w:val="00075DC0"/>
    <w:rsid w:val="0007778E"/>
    <w:rsid w:val="000800B1"/>
    <w:rsid w:val="00080B51"/>
    <w:rsid w:val="00081833"/>
    <w:rsid w:val="00081E1F"/>
    <w:rsid w:val="00082FDF"/>
    <w:rsid w:val="00083082"/>
    <w:rsid w:val="00083D08"/>
    <w:rsid w:val="00083FBC"/>
    <w:rsid w:val="000862C6"/>
    <w:rsid w:val="00087DDC"/>
    <w:rsid w:val="000900ED"/>
    <w:rsid w:val="000905CB"/>
    <w:rsid w:val="00090794"/>
    <w:rsid w:val="0009081C"/>
    <w:rsid w:val="000917E4"/>
    <w:rsid w:val="00091A0D"/>
    <w:rsid w:val="00091F9D"/>
    <w:rsid w:val="00092891"/>
    <w:rsid w:val="00093723"/>
    <w:rsid w:val="000949A1"/>
    <w:rsid w:val="00094D67"/>
    <w:rsid w:val="00095F80"/>
    <w:rsid w:val="00096207"/>
    <w:rsid w:val="00096B62"/>
    <w:rsid w:val="00096E09"/>
    <w:rsid w:val="00097A23"/>
    <w:rsid w:val="000A09C3"/>
    <w:rsid w:val="000A15BF"/>
    <w:rsid w:val="000A168A"/>
    <w:rsid w:val="000A2A27"/>
    <w:rsid w:val="000A31AC"/>
    <w:rsid w:val="000A40C5"/>
    <w:rsid w:val="000A4963"/>
    <w:rsid w:val="000A5BA2"/>
    <w:rsid w:val="000A5FCC"/>
    <w:rsid w:val="000A6767"/>
    <w:rsid w:val="000A6D6D"/>
    <w:rsid w:val="000A7A30"/>
    <w:rsid w:val="000B008D"/>
    <w:rsid w:val="000B104A"/>
    <w:rsid w:val="000B3324"/>
    <w:rsid w:val="000B3EDE"/>
    <w:rsid w:val="000B4035"/>
    <w:rsid w:val="000B409A"/>
    <w:rsid w:val="000B41C4"/>
    <w:rsid w:val="000B4773"/>
    <w:rsid w:val="000B4BD6"/>
    <w:rsid w:val="000B5BED"/>
    <w:rsid w:val="000B6241"/>
    <w:rsid w:val="000B64CE"/>
    <w:rsid w:val="000B67C6"/>
    <w:rsid w:val="000B7301"/>
    <w:rsid w:val="000B73D2"/>
    <w:rsid w:val="000B76D7"/>
    <w:rsid w:val="000C0496"/>
    <w:rsid w:val="000C054B"/>
    <w:rsid w:val="000C12D0"/>
    <w:rsid w:val="000C1435"/>
    <w:rsid w:val="000C2461"/>
    <w:rsid w:val="000C27A3"/>
    <w:rsid w:val="000C2A7C"/>
    <w:rsid w:val="000C322A"/>
    <w:rsid w:val="000C3BBA"/>
    <w:rsid w:val="000C4085"/>
    <w:rsid w:val="000C41A6"/>
    <w:rsid w:val="000C49AD"/>
    <w:rsid w:val="000C5DEF"/>
    <w:rsid w:val="000C5E48"/>
    <w:rsid w:val="000C647E"/>
    <w:rsid w:val="000C6B75"/>
    <w:rsid w:val="000C6E60"/>
    <w:rsid w:val="000C7BAE"/>
    <w:rsid w:val="000C7E6E"/>
    <w:rsid w:val="000D2C23"/>
    <w:rsid w:val="000D3427"/>
    <w:rsid w:val="000D3A7D"/>
    <w:rsid w:val="000D40D3"/>
    <w:rsid w:val="000D4C4A"/>
    <w:rsid w:val="000D4EE2"/>
    <w:rsid w:val="000D5827"/>
    <w:rsid w:val="000D5853"/>
    <w:rsid w:val="000D58D5"/>
    <w:rsid w:val="000D5ECA"/>
    <w:rsid w:val="000D641E"/>
    <w:rsid w:val="000D660E"/>
    <w:rsid w:val="000D6DB4"/>
    <w:rsid w:val="000D7048"/>
    <w:rsid w:val="000D707E"/>
    <w:rsid w:val="000D73C5"/>
    <w:rsid w:val="000E03C8"/>
    <w:rsid w:val="000E0B6F"/>
    <w:rsid w:val="000E0F0F"/>
    <w:rsid w:val="000E1979"/>
    <w:rsid w:val="000E25D6"/>
    <w:rsid w:val="000E2BA1"/>
    <w:rsid w:val="000E346E"/>
    <w:rsid w:val="000E38BC"/>
    <w:rsid w:val="000E3FCC"/>
    <w:rsid w:val="000E419E"/>
    <w:rsid w:val="000E4534"/>
    <w:rsid w:val="000E455E"/>
    <w:rsid w:val="000E4EB3"/>
    <w:rsid w:val="000E51AE"/>
    <w:rsid w:val="000E57FE"/>
    <w:rsid w:val="000E5E0B"/>
    <w:rsid w:val="000E5FA4"/>
    <w:rsid w:val="000E5FB4"/>
    <w:rsid w:val="000E639A"/>
    <w:rsid w:val="000E6435"/>
    <w:rsid w:val="000E67CC"/>
    <w:rsid w:val="000E6C4B"/>
    <w:rsid w:val="000E6D8F"/>
    <w:rsid w:val="000E7707"/>
    <w:rsid w:val="000F01F1"/>
    <w:rsid w:val="000F028C"/>
    <w:rsid w:val="000F06E4"/>
    <w:rsid w:val="000F1216"/>
    <w:rsid w:val="000F2A3C"/>
    <w:rsid w:val="000F32EC"/>
    <w:rsid w:val="000F331F"/>
    <w:rsid w:val="000F37E3"/>
    <w:rsid w:val="000F3D67"/>
    <w:rsid w:val="000F462E"/>
    <w:rsid w:val="000F5CC6"/>
    <w:rsid w:val="000F6A58"/>
    <w:rsid w:val="000F7158"/>
    <w:rsid w:val="000F7A1A"/>
    <w:rsid w:val="00100576"/>
    <w:rsid w:val="0010086A"/>
    <w:rsid w:val="0010154A"/>
    <w:rsid w:val="001016F5"/>
    <w:rsid w:val="00101C23"/>
    <w:rsid w:val="00102D45"/>
    <w:rsid w:val="00104F27"/>
    <w:rsid w:val="00105125"/>
    <w:rsid w:val="00105489"/>
    <w:rsid w:val="00106733"/>
    <w:rsid w:val="00106B41"/>
    <w:rsid w:val="001070D7"/>
    <w:rsid w:val="001072D7"/>
    <w:rsid w:val="001078AD"/>
    <w:rsid w:val="00107941"/>
    <w:rsid w:val="001133EA"/>
    <w:rsid w:val="00113D8A"/>
    <w:rsid w:val="00114184"/>
    <w:rsid w:val="00114D7B"/>
    <w:rsid w:val="00114DF2"/>
    <w:rsid w:val="00114E91"/>
    <w:rsid w:val="00114F1F"/>
    <w:rsid w:val="0011672B"/>
    <w:rsid w:val="00117F14"/>
    <w:rsid w:val="00121491"/>
    <w:rsid w:val="00121680"/>
    <w:rsid w:val="001235EF"/>
    <w:rsid w:val="0012360A"/>
    <w:rsid w:val="00123844"/>
    <w:rsid w:val="00125729"/>
    <w:rsid w:val="00125C87"/>
    <w:rsid w:val="00125D11"/>
    <w:rsid w:val="001262E8"/>
    <w:rsid w:val="001271D7"/>
    <w:rsid w:val="00127DA8"/>
    <w:rsid w:val="0013090C"/>
    <w:rsid w:val="00131006"/>
    <w:rsid w:val="001327AD"/>
    <w:rsid w:val="001329FC"/>
    <w:rsid w:val="00132A5E"/>
    <w:rsid w:val="00132B7E"/>
    <w:rsid w:val="0013415B"/>
    <w:rsid w:val="00135B79"/>
    <w:rsid w:val="001364F6"/>
    <w:rsid w:val="0013791F"/>
    <w:rsid w:val="00140EDE"/>
    <w:rsid w:val="00141339"/>
    <w:rsid w:val="001419C0"/>
    <w:rsid w:val="00141F58"/>
    <w:rsid w:val="001427E2"/>
    <w:rsid w:val="001436B6"/>
    <w:rsid w:val="0014375C"/>
    <w:rsid w:val="00143A81"/>
    <w:rsid w:val="00143BFF"/>
    <w:rsid w:val="001443D8"/>
    <w:rsid w:val="00144FBF"/>
    <w:rsid w:val="0014530E"/>
    <w:rsid w:val="00145E48"/>
    <w:rsid w:val="00146811"/>
    <w:rsid w:val="00146C46"/>
    <w:rsid w:val="001474EB"/>
    <w:rsid w:val="00150093"/>
    <w:rsid w:val="001503EB"/>
    <w:rsid w:val="00150CE0"/>
    <w:rsid w:val="00150FCD"/>
    <w:rsid w:val="00151744"/>
    <w:rsid w:val="001519CC"/>
    <w:rsid w:val="00151F03"/>
    <w:rsid w:val="0015285F"/>
    <w:rsid w:val="0015299A"/>
    <w:rsid w:val="0015343E"/>
    <w:rsid w:val="0015366D"/>
    <w:rsid w:val="00153B1D"/>
    <w:rsid w:val="0015653D"/>
    <w:rsid w:val="00156656"/>
    <w:rsid w:val="00156ACA"/>
    <w:rsid w:val="0015749F"/>
    <w:rsid w:val="00157C56"/>
    <w:rsid w:val="0016067D"/>
    <w:rsid w:val="0016178B"/>
    <w:rsid w:val="0016190C"/>
    <w:rsid w:val="00161C1D"/>
    <w:rsid w:val="00161D65"/>
    <w:rsid w:val="0016203E"/>
    <w:rsid w:val="001622AE"/>
    <w:rsid w:val="00162772"/>
    <w:rsid w:val="00162D3A"/>
    <w:rsid w:val="00163DBA"/>
    <w:rsid w:val="00163F61"/>
    <w:rsid w:val="001642B3"/>
    <w:rsid w:val="00164472"/>
    <w:rsid w:val="00166BE5"/>
    <w:rsid w:val="001671E8"/>
    <w:rsid w:val="00167201"/>
    <w:rsid w:val="0016747B"/>
    <w:rsid w:val="00167805"/>
    <w:rsid w:val="00170079"/>
    <w:rsid w:val="00170094"/>
    <w:rsid w:val="001702C8"/>
    <w:rsid w:val="00170589"/>
    <w:rsid w:val="00170C07"/>
    <w:rsid w:val="00170D53"/>
    <w:rsid w:val="0017204B"/>
    <w:rsid w:val="00172121"/>
    <w:rsid w:val="0017302B"/>
    <w:rsid w:val="00173998"/>
    <w:rsid w:val="0017405E"/>
    <w:rsid w:val="0017431A"/>
    <w:rsid w:val="00174577"/>
    <w:rsid w:val="00174782"/>
    <w:rsid w:val="001757DD"/>
    <w:rsid w:val="00175F24"/>
    <w:rsid w:val="00176AE2"/>
    <w:rsid w:val="00176DDF"/>
    <w:rsid w:val="00177393"/>
    <w:rsid w:val="00177A55"/>
    <w:rsid w:val="00177D38"/>
    <w:rsid w:val="00180FE0"/>
    <w:rsid w:val="00181516"/>
    <w:rsid w:val="001819CF"/>
    <w:rsid w:val="001822E7"/>
    <w:rsid w:val="001823CB"/>
    <w:rsid w:val="001837E6"/>
    <w:rsid w:val="00184B2A"/>
    <w:rsid w:val="00184C81"/>
    <w:rsid w:val="00185202"/>
    <w:rsid w:val="001857EE"/>
    <w:rsid w:val="001861DD"/>
    <w:rsid w:val="00186666"/>
    <w:rsid w:val="001866DE"/>
    <w:rsid w:val="00186A7B"/>
    <w:rsid w:val="0018735D"/>
    <w:rsid w:val="00187B2F"/>
    <w:rsid w:val="00190D39"/>
    <w:rsid w:val="00191178"/>
    <w:rsid w:val="00191C3F"/>
    <w:rsid w:val="00192A3A"/>
    <w:rsid w:val="00192C43"/>
    <w:rsid w:val="001937C8"/>
    <w:rsid w:val="00193C2C"/>
    <w:rsid w:val="00194C0D"/>
    <w:rsid w:val="00195417"/>
    <w:rsid w:val="0019636E"/>
    <w:rsid w:val="0019675A"/>
    <w:rsid w:val="001974B2"/>
    <w:rsid w:val="00197D61"/>
    <w:rsid w:val="001A00CD"/>
    <w:rsid w:val="001A07B4"/>
    <w:rsid w:val="001A0AE7"/>
    <w:rsid w:val="001A1509"/>
    <w:rsid w:val="001A31C6"/>
    <w:rsid w:val="001A3A3A"/>
    <w:rsid w:val="001A3C5D"/>
    <w:rsid w:val="001A3E34"/>
    <w:rsid w:val="001A4767"/>
    <w:rsid w:val="001A57B3"/>
    <w:rsid w:val="001A58E6"/>
    <w:rsid w:val="001A61DE"/>
    <w:rsid w:val="001A7241"/>
    <w:rsid w:val="001B0224"/>
    <w:rsid w:val="001B0C03"/>
    <w:rsid w:val="001B126B"/>
    <w:rsid w:val="001B1571"/>
    <w:rsid w:val="001B18A1"/>
    <w:rsid w:val="001B1AC6"/>
    <w:rsid w:val="001B1C3D"/>
    <w:rsid w:val="001B1EFE"/>
    <w:rsid w:val="001B2EF2"/>
    <w:rsid w:val="001B3B24"/>
    <w:rsid w:val="001B4030"/>
    <w:rsid w:val="001B40A2"/>
    <w:rsid w:val="001B4775"/>
    <w:rsid w:val="001B4EF0"/>
    <w:rsid w:val="001B5357"/>
    <w:rsid w:val="001B564E"/>
    <w:rsid w:val="001B63FC"/>
    <w:rsid w:val="001B7099"/>
    <w:rsid w:val="001B771F"/>
    <w:rsid w:val="001B774C"/>
    <w:rsid w:val="001B775D"/>
    <w:rsid w:val="001B7B54"/>
    <w:rsid w:val="001B7DC9"/>
    <w:rsid w:val="001C0328"/>
    <w:rsid w:val="001C14E4"/>
    <w:rsid w:val="001C1B80"/>
    <w:rsid w:val="001C2C59"/>
    <w:rsid w:val="001C360B"/>
    <w:rsid w:val="001C39C1"/>
    <w:rsid w:val="001C4024"/>
    <w:rsid w:val="001C402E"/>
    <w:rsid w:val="001C4BA3"/>
    <w:rsid w:val="001C4D33"/>
    <w:rsid w:val="001C52BA"/>
    <w:rsid w:val="001C6A14"/>
    <w:rsid w:val="001C7879"/>
    <w:rsid w:val="001C7B42"/>
    <w:rsid w:val="001C7D55"/>
    <w:rsid w:val="001D0296"/>
    <w:rsid w:val="001D1F96"/>
    <w:rsid w:val="001D28B3"/>
    <w:rsid w:val="001D2CF2"/>
    <w:rsid w:val="001D34D9"/>
    <w:rsid w:val="001D3F8C"/>
    <w:rsid w:val="001D4F42"/>
    <w:rsid w:val="001D5384"/>
    <w:rsid w:val="001D5469"/>
    <w:rsid w:val="001D6ED9"/>
    <w:rsid w:val="001D7DA8"/>
    <w:rsid w:val="001E048B"/>
    <w:rsid w:val="001E0FFF"/>
    <w:rsid w:val="001E1280"/>
    <w:rsid w:val="001E170E"/>
    <w:rsid w:val="001E1ACC"/>
    <w:rsid w:val="001E2050"/>
    <w:rsid w:val="001E2390"/>
    <w:rsid w:val="001E2440"/>
    <w:rsid w:val="001E29EC"/>
    <w:rsid w:val="001E2B14"/>
    <w:rsid w:val="001E2B54"/>
    <w:rsid w:val="001E31C0"/>
    <w:rsid w:val="001E389B"/>
    <w:rsid w:val="001E492B"/>
    <w:rsid w:val="001E5433"/>
    <w:rsid w:val="001E56A0"/>
    <w:rsid w:val="001E5C7C"/>
    <w:rsid w:val="001E6012"/>
    <w:rsid w:val="001E7EA2"/>
    <w:rsid w:val="001E7F7E"/>
    <w:rsid w:val="001F0BC0"/>
    <w:rsid w:val="001F390F"/>
    <w:rsid w:val="001F4665"/>
    <w:rsid w:val="001F4804"/>
    <w:rsid w:val="001F5470"/>
    <w:rsid w:val="001F6112"/>
    <w:rsid w:val="001F6448"/>
    <w:rsid w:val="001F6A96"/>
    <w:rsid w:val="001F73A7"/>
    <w:rsid w:val="001F7C0C"/>
    <w:rsid w:val="00200BA4"/>
    <w:rsid w:val="002012EF"/>
    <w:rsid w:val="0020187E"/>
    <w:rsid w:val="002025D5"/>
    <w:rsid w:val="00202A86"/>
    <w:rsid w:val="00202AF1"/>
    <w:rsid w:val="002033B7"/>
    <w:rsid w:val="0020427E"/>
    <w:rsid w:val="00204F27"/>
    <w:rsid w:val="002058D9"/>
    <w:rsid w:val="00205A92"/>
    <w:rsid w:val="00207054"/>
    <w:rsid w:val="00207072"/>
    <w:rsid w:val="002070AA"/>
    <w:rsid w:val="002072F6"/>
    <w:rsid w:val="0021122F"/>
    <w:rsid w:val="0021155B"/>
    <w:rsid w:val="0021188F"/>
    <w:rsid w:val="00213767"/>
    <w:rsid w:val="002143BE"/>
    <w:rsid w:val="00214801"/>
    <w:rsid w:val="00214D65"/>
    <w:rsid w:val="002153C7"/>
    <w:rsid w:val="00215C42"/>
    <w:rsid w:val="00216866"/>
    <w:rsid w:val="00216F07"/>
    <w:rsid w:val="00217385"/>
    <w:rsid w:val="00217411"/>
    <w:rsid w:val="00217A24"/>
    <w:rsid w:val="0022026C"/>
    <w:rsid w:val="0022081B"/>
    <w:rsid w:val="00221286"/>
    <w:rsid w:val="002217DB"/>
    <w:rsid w:val="0022181E"/>
    <w:rsid w:val="002219F8"/>
    <w:rsid w:val="00221A1D"/>
    <w:rsid w:val="00221E4C"/>
    <w:rsid w:val="00222108"/>
    <w:rsid w:val="00222F86"/>
    <w:rsid w:val="0022344E"/>
    <w:rsid w:val="00223762"/>
    <w:rsid w:val="00223878"/>
    <w:rsid w:val="002249A1"/>
    <w:rsid w:val="00225BED"/>
    <w:rsid w:val="00226D3D"/>
    <w:rsid w:val="002270BD"/>
    <w:rsid w:val="002279BB"/>
    <w:rsid w:val="00227C05"/>
    <w:rsid w:val="00227FE2"/>
    <w:rsid w:val="0023000F"/>
    <w:rsid w:val="00230542"/>
    <w:rsid w:val="002306F0"/>
    <w:rsid w:val="00231D92"/>
    <w:rsid w:val="00231E87"/>
    <w:rsid w:val="00231EA0"/>
    <w:rsid w:val="00232A4B"/>
    <w:rsid w:val="0023325D"/>
    <w:rsid w:val="0023348B"/>
    <w:rsid w:val="002349BD"/>
    <w:rsid w:val="002354E6"/>
    <w:rsid w:val="00235B36"/>
    <w:rsid w:val="00236590"/>
    <w:rsid w:val="00236B3A"/>
    <w:rsid w:val="0024041F"/>
    <w:rsid w:val="00240437"/>
    <w:rsid w:val="0024096E"/>
    <w:rsid w:val="00241414"/>
    <w:rsid w:val="002414EF"/>
    <w:rsid w:val="00241AD1"/>
    <w:rsid w:val="00241F86"/>
    <w:rsid w:val="0024202B"/>
    <w:rsid w:val="002421F6"/>
    <w:rsid w:val="002424A0"/>
    <w:rsid w:val="00242955"/>
    <w:rsid w:val="00242DA3"/>
    <w:rsid w:val="00244230"/>
    <w:rsid w:val="00244E2B"/>
    <w:rsid w:val="002456CB"/>
    <w:rsid w:val="00245967"/>
    <w:rsid w:val="00246578"/>
    <w:rsid w:val="00246936"/>
    <w:rsid w:val="00247001"/>
    <w:rsid w:val="00247250"/>
    <w:rsid w:val="002518C1"/>
    <w:rsid w:val="00251BAE"/>
    <w:rsid w:val="002531A5"/>
    <w:rsid w:val="00253544"/>
    <w:rsid w:val="00253C53"/>
    <w:rsid w:val="002540A7"/>
    <w:rsid w:val="00254D1E"/>
    <w:rsid w:val="00254F1D"/>
    <w:rsid w:val="002553BD"/>
    <w:rsid w:val="002556F1"/>
    <w:rsid w:val="00255B80"/>
    <w:rsid w:val="00256401"/>
    <w:rsid w:val="00256B07"/>
    <w:rsid w:val="00257DF6"/>
    <w:rsid w:val="00260552"/>
    <w:rsid w:val="00260CDB"/>
    <w:rsid w:val="0026130E"/>
    <w:rsid w:val="0026147B"/>
    <w:rsid w:val="00261C66"/>
    <w:rsid w:val="00262BE2"/>
    <w:rsid w:val="00263417"/>
    <w:rsid w:val="00263BEE"/>
    <w:rsid w:val="00263D1A"/>
    <w:rsid w:val="002649A8"/>
    <w:rsid w:val="00265419"/>
    <w:rsid w:val="00265A8B"/>
    <w:rsid w:val="0026798F"/>
    <w:rsid w:val="002705C7"/>
    <w:rsid w:val="00270FD0"/>
    <w:rsid w:val="002721B8"/>
    <w:rsid w:val="00272A90"/>
    <w:rsid w:val="00272FAE"/>
    <w:rsid w:val="002745BA"/>
    <w:rsid w:val="0027526A"/>
    <w:rsid w:val="002753A1"/>
    <w:rsid w:val="00275A2F"/>
    <w:rsid w:val="0027617B"/>
    <w:rsid w:val="002764DA"/>
    <w:rsid w:val="00277DF3"/>
    <w:rsid w:val="00280C22"/>
    <w:rsid w:val="00281352"/>
    <w:rsid w:val="002813FA"/>
    <w:rsid w:val="00281906"/>
    <w:rsid w:val="002825F0"/>
    <w:rsid w:val="002828D7"/>
    <w:rsid w:val="00282B6C"/>
    <w:rsid w:val="00282CA2"/>
    <w:rsid w:val="00282ECF"/>
    <w:rsid w:val="00283323"/>
    <w:rsid w:val="0028350B"/>
    <w:rsid w:val="00283569"/>
    <w:rsid w:val="00284064"/>
    <w:rsid w:val="002846B2"/>
    <w:rsid w:val="00285225"/>
    <w:rsid w:val="00285584"/>
    <w:rsid w:val="00285D61"/>
    <w:rsid w:val="00286809"/>
    <w:rsid w:val="00286CF3"/>
    <w:rsid w:val="00287C55"/>
    <w:rsid w:val="002906C8"/>
    <w:rsid w:val="00290A82"/>
    <w:rsid w:val="002910DE"/>
    <w:rsid w:val="00291445"/>
    <w:rsid w:val="0029293A"/>
    <w:rsid w:val="00292ADC"/>
    <w:rsid w:val="0029394F"/>
    <w:rsid w:val="00293ABD"/>
    <w:rsid w:val="00293B46"/>
    <w:rsid w:val="00294A88"/>
    <w:rsid w:val="00295FBE"/>
    <w:rsid w:val="00296AF5"/>
    <w:rsid w:val="00296E33"/>
    <w:rsid w:val="00297DEC"/>
    <w:rsid w:val="002A06D4"/>
    <w:rsid w:val="002A083C"/>
    <w:rsid w:val="002A1888"/>
    <w:rsid w:val="002A1BBA"/>
    <w:rsid w:val="002A28F7"/>
    <w:rsid w:val="002A3A09"/>
    <w:rsid w:val="002A3B03"/>
    <w:rsid w:val="002A3D58"/>
    <w:rsid w:val="002A403E"/>
    <w:rsid w:val="002A5825"/>
    <w:rsid w:val="002A5B8B"/>
    <w:rsid w:val="002A60D6"/>
    <w:rsid w:val="002A65D0"/>
    <w:rsid w:val="002A66C3"/>
    <w:rsid w:val="002A6CA4"/>
    <w:rsid w:val="002A6F67"/>
    <w:rsid w:val="002A7AB2"/>
    <w:rsid w:val="002A7E2C"/>
    <w:rsid w:val="002B0D45"/>
    <w:rsid w:val="002B107D"/>
    <w:rsid w:val="002B22B4"/>
    <w:rsid w:val="002B2748"/>
    <w:rsid w:val="002B344D"/>
    <w:rsid w:val="002B3815"/>
    <w:rsid w:val="002B4C50"/>
    <w:rsid w:val="002B4DFF"/>
    <w:rsid w:val="002B4E45"/>
    <w:rsid w:val="002B5971"/>
    <w:rsid w:val="002B5994"/>
    <w:rsid w:val="002B605A"/>
    <w:rsid w:val="002B6D2A"/>
    <w:rsid w:val="002B79C9"/>
    <w:rsid w:val="002C0CBD"/>
    <w:rsid w:val="002C0D30"/>
    <w:rsid w:val="002C1D3F"/>
    <w:rsid w:val="002C2251"/>
    <w:rsid w:val="002C3120"/>
    <w:rsid w:val="002C3457"/>
    <w:rsid w:val="002C34FA"/>
    <w:rsid w:val="002C3A38"/>
    <w:rsid w:val="002C4275"/>
    <w:rsid w:val="002C4424"/>
    <w:rsid w:val="002C4C47"/>
    <w:rsid w:val="002C4FCC"/>
    <w:rsid w:val="002C6B5D"/>
    <w:rsid w:val="002C70AB"/>
    <w:rsid w:val="002C72BA"/>
    <w:rsid w:val="002C7E47"/>
    <w:rsid w:val="002D0218"/>
    <w:rsid w:val="002D1FE5"/>
    <w:rsid w:val="002D398C"/>
    <w:rsid w:val="002D3FA4"/>
    <w:rsid w:val="002D5B8D"/>
    <w:rsid w:val="002D5E8A"/>
    <w:rsid w:val="002D62D9"/>
    <w:rsid w:val="002D64B3"/>
    <w:rsid w:val="002D70CD"/>
    <w:rsid w:val="002D738D"/>
    <w:rsid w:val="002D797A"/>
    <w:rsid w:val="002E04DE"/>
    <w:rsid w:val="002E1322"/>
    <w:rsid w:val="002E1405"/>
    <w:rsid w:val="002E2975"/>
    <w:rsid w:val="002E29D6"/>
    <w:rsid w:val="002E2CAF"/>
    <w:rsid w:val="002E30F3"/>
    <w:rsid w:val="002E3AE4"/>
    <w:rsid w:val="002E3ED9"/>
    <w:rsid w:val="002E4081"/>
    <w:rsid w:val="002E5C98"/>
    <w:rsid w:val="002E60B5"/>
    <w:rsid w:val="002E6566"/>
    <w:rsid w:val="002E6734"/>
    <w:rsid w:val="002E692A"/>
    <w:rsid w:val="002E6CC4"/>
    <w:rsid w:val="002E70AA"/>
    <w:rsid w:val="002F0252"/>
    <w:rsid w:val="002F0E05"/>
    <w:rsid w:val="002F1206"/>
    <w:rsid w:val="002F1406"/>
    <w:rsid w:val="002F19A0"/>
    <w:rsid w:val="002F200C"/>
    <w:rsid w:val="002F334E"/>
    <w:rsid w:val="002F34A7"/>
    <w:rsid w:val="002F3DB2"/>
    <w:rsid w:val="002F3DD2"/>
    <w:rsid w:val="002F49A1"/>
    <w:rsid w:val="002F53C1"/>
    <w:rsid w:val="002F645B"/>
    <w:rsid w:val="002F6478"/>
    <w:rsid w:val="002F65FF"/>
    <w:rsid w:val="002F667F"/>
    <w:rsid w:val="002F745B"/>
    <w:rsid w:val="003006AC"/>
    <w:rsid w:val="00300BEC"/>
    <w:rsid w:val="00300CEC"/>
    <w:rsid w:val="00300FFA"/>
    <w:rsid w:val="003012F6"/>
    <w:rsid w:val="0030157B"/>
    <w:rsid w:val="00301CDF"/>
    <w:rsid w:val="003027B0"/>
    <w:rsid w:val="00302F91"/>
    <w:rsid w:val="00303E49"/>
    <w:rsid w:val="0030410C"/>
    <w:rsid w:val="003046FA"/>
    <w:rsid w:val="0030576C"/>
    <w:rsid w:val="00305AEF"/>
    <w:rsid w:val="00305F09"/>
    <w:rsid w:val="00305FC4"/>
    <w:rsid w:val="00310951"/>
    <w:rsid w:val="00310D29"/>
    <w:rsid w:val="00310D45"/>
    <w:rsid w:val="003125A8"/>
    <w:rsid w:val="00312989"/>
    <w:rsid w:val="003139EB"/>
    <w:rsid w:val="00313B8B"/>
    <w:rsid w:val="00313E7D"/>
    <w:rsid w:val="003141F0"/>
    <w:rsid w:val="00314401"/>
    <w:rsid w:val="00315E6C"/>
    <w:rsid w:val="003179B9"/>
    <w:rsid w:val="00321471"/>
    <w:rsid w:val="0032147C"/>
    <w:rsid w:val="00321935"/>
    <w:rsid w:val="00321ACB"/>
    <w:rsid w:val="00322E49"/>
    <w:rsid w:val="00323639"/>
    <w:rsid w:val="00323C4E"/>
    <w:rsid w:val="00324525"/>
    <w:rsid w:val="00324734"/>
    <w:rsid w:val="00324A0A"/>
    <w:rsid w:val="00324C24"/>
    <w:rsid w:val="003258F9"/>
    <w:rsid w:val="0032640E"/>
    <w:rsid w:val="003272BD"/>
    <w:rsid w:val="00327995"/>
    <w:rsid w:val="003300C1"/>
    <w:rsid w:val="0033026B"/>
    <w:rsid w:val="00331178"/>
    <w:rsid w:val="00331CA5"/>
    <w:rsid w:val="00331F04"/>
    <w:rsid w:val="0033207F"/>
    <w:rsid w:val="00332C94"/>
    <w:rsid w:val="00333632"/>
    <w:rsid w:val="00333966"/>
    <w:rsid w:val="00333AE1"/>
    <w:rsid w:val="0033434C"/>
    <w:rsid w:val="00334A46"/>
    <w:rsid w:val="00334D86"/>
    <w:rsid w:val="00335415"/>
    <w:rsid w:val="0033556C"/>
    <w:rsid w:val="003358A7"/>
    <w:rsid w:val="00335F31"/>
    <w:rsid w:val="00336052"/>
    <w:rsid w:val="00336121"/>
    <w:rsid w:val="003369B8"/>
    <w:rsid w:val="00336D17"/>
    <w:rsid w:val="003403F8"/>
    <w:rsid w:val="00341285"/>
    <w:rsid w:val="00341723"/>
    <w:rsid w:val="0034259C"/>
    <w:rsid w:val="0034261C"/>
    <w:rsid w:val="00342720"/>
    <w:rsid w:val="00342C10"/>
    <w:rsid w:val="00342E15"/>
    <w:rsid w:val="00343060"/>
    <w:rsid w:val="00343CB1"/>
    <w:rsid w:val="00345F0A"/>
    <w:rsid w:val="003460C9"/>
    <w:rsid w:val="003463CB"/>
    <w:rsid w:val="003475E0"/>
    <w:rsid w:val="00347B82"/>
    <w:rsid w:val="00347E90"/>
    <w:rsid w:val="00347EDE"/>
    <w:rsid w:val="00350270"/>
    <w:rsid w:val="0035045D"/>
    <w:rsid w:val="00350CB2"/>
    <w:rsid w:val="00352C79"/>
    <w:rsid w:val="00353034"/>
    <w:rsid w:val="00353FC5"/>
    <w:rsid w:val="00354F0C"/>
    <w:rsid w:val="00355395"/>
    <w:rsid w:val="0035572C"/>
    <w:rsid w:val="00355F27"/>
    <w:rsid w:val="00355F40"/>
    <w:rsid w:val="00356804"/>
    <w:rsid w:val="00356939"/>
    <w:rsid w:val="00356BA1"/>
    <w:rsid w:val="00360C9B"/>
    <w:rsid w:val="00361831"/>
    <w:rsid w:val="00361912"/>
    <w:rsid w:val="003627D4"/>
    <w:rsid w:val="00362D7B"/>
    <w:rsid w:val="0036350D"/>
    <w:rsid w:val="00363E3B"/>
    <w:rsid w:val="00363F85"/>
    <w:rsid w:val="00364199"/>
    <w:rsid w:val="0036490C"/>
    <w:rsid w:val="00365262"/>
    <w:rsid w:val="0036601E"/>
    <w:rsid w:val="00366114"/>
    <w:rsid w:val="00366B1A"/>
    <w:rsid w:val="00366B3D"/>
    <w:rsid w:val="00366BAB"/>
    <w:rsid w:val="00366F74"/>
    <w:rsid w:val="0036720C"/>
    <w:rsid w:val="00370145"/>
    <w:rsid w:val="00370C41"/>
    <w:rsid w:val="00371275"/>
    <w:rsid w:val="00371334"/>
    <w:rsid w:val="00372358"/>
    <w:rsid w:val="003730A7"/>
    <w:rsid w:val="00374325"/>
    <w:rsid w:val="00374BA9"/>
    <w:rsid w:val="00375549"/>
    <w:rsid w:val="003762E3"/>
    <w:rsid w:val="00376943"/>
    <w:rsid w:val="003812BF"/>
    <w:rsid w:val="00381FFC"/>
    <w:rsid w:val="00382419"/>
    <w:rsid w:val="00382F20"/>
    <w:rsid w:val="00384EFA"/>
    <w:rsid w:val="00385030"/>
    <w:rsid w:val="00386A28"/>
    <w:rsid w:val="00386A92"/>
    <w:rsid w:val="00387354"/>
    <w:rsid w:val="003876A2"/>
    <w:rsid w:val="00387885"/>
    <w:rsid w:val="00387890"/>
    <w:rsid w:val="00387A8D"/>
    <w:rsid w:val="00387D84"/>
    <w:rsid w:val="00390024"/>
    <w:rsid w:val="00390733"/>
    <w:rsid w:val="00390D53"/>
    <w:rsid w:val="00390EB3"/>
    <w:rsid w:val="003918D9"/>
    <w:rsid w:val="003918F6"/>
    <w:rsid w:val="00391B54"/>
    <w:rsid w:val="00391E3D"/>
    <w:rsid w:val="00392121"/>
    <w:rsid w:val="00392DA4"/>
    <w:rsid w:val="003937A1"/>
    <w:rsid w:val="00393CE6"/>
    <w:rsid w:val="00393D30"/>
    <w:rsid w:val="00393D9C"/>
    <w:rsid w:val="003950F2"/>
    <w:rsid w:val="00395444"/>
    <w:rsid w:val="00395994"/>
    <w:rsid w:val="00396A26"/>
    <w:rsid w:val="00396F94"/>
    <w:rsid w:val="00397071"/>
    <w:rsid w:val="00397D10"/>
    <w:rsid w:val="003A277B"/>
    <w:rsid w:val="003A298B"/>
    <w:rsid w:val="003A3260"/>
    <w:rsid w:val="003A389F"/>
    <w:rsid w:val="003A4044"/>
    <w:rsid w:val="003A5033"/>
    <w:rsid w:val="003A592D"/>
    <w:rsid w:val="003A60E4"/>
    <w:rsid w:val="003A6969"/>
    <w:rsid w:val="003B00C8"/>
    <w:rsid w:val="003B0359"/>
    <w:rsid w:val="003B11A2"/>
    <w:rsid w:val="003B14EA"/>
    <w:rsid w:val="003B1743"/>
    <w:rsid w:val="003B1761"/>
    <w:rsid w:val="003B1AD8"/>
    <w:rsid w:val="003B2F80"/>
    <w:rsid w:val="003B34CA"/>
    <w:rsid w:val="003B3962"/>
    <w:rsid w:val="003B3964"/>
    <w:rsid w:val="003B50F4"/>
    <w:rsid w:val="003B5391"/>
    <w:rsid w:val="003B635B"/>
    <w:rsid w:val="003B6652"/>
    <w:rsid w:val="003B7591"/>
    <w:rsid w:val="003B7C0C"/>
    <w:rsid w:val="003B7D83"/>
    <w:rsid w:val="003C035F"/>
    <w:rsid w:val="003C0B2D"/>
    <w:rsid w:val="003C14DE"/>
    <w:rsid w:val="003C1BD1"/>
    <w:rsid w:val="003C1EFE"/>
    <w:rsid w:val="003C25E1"/>
    <w:rsid w:val="003C263C"/>
    <w:rsid w:val="003C2FAD"/>
    <w:rsid w:val="003C332D"/>
    <w:rsid w:val="003C3A4A"/>
    <w:rsid w:val="003C3D5D"/>
    <w:rsid w:val="003C4A5C"/>
    <w:rsid w:val="003C50FD"/>
    <w:rsid w:val="003C7578"/>
    <w:rsid w:val="003C75F7"/>
    <w:rsid w:val="003C79A5"/>
    <w:rsid w:val="003C7A44"/>
    <w:rsid w:val="003C7F00"/>
    <w:rsid w:val="003D0551"/>
    <w:rsid w:val="003D0BCB"/>
    <w:rsid w:val="003D12BD"/>
    <w:rsid w:val="003D195D"/>
    <w:rsid w:val="003D1982"/>
    <w:rsid w:val="003D1D6E"/>
    <w:rsid w:val="003D20C6"/>
    <w:rsid w:val="003D220C"/>
    <w:rsid w:val="003D2C03"/>
    <w:rsid w:val="003D4B4F"/>
    <w:rsid w:val="003D5476"/>
    <w:rsid w:val="003D5B99"/>
    <w:rsid w:val="003D64A6"/>
    <w:rsid w:val="003D64E6"/>
    <w:rsid w:val="003D70E9"/>
    <w:rsid w:val="003D73BA"/>
    <w:rsid w:val="003D7662"/>
    <w:rsid w:val="003E05A6"/>
    <w:rsid w:val="003E1349"/>
    <w:rsid w:val="003E15A7"/>
    <w:rsid w:val="003E1780"/>
    <w:rsid w:val="003E1C41"/>
    <w:rsid w:val="003E3028"/>
    <w:rsid w:val="003E30B6"/>
    <w:rsid w:val="003E31E0"/>
    <w:rsid w:val="003E3C34"/>
    <w:rsid w:val="003E47F4"/>
    <w:rsid w:val="003E48AF"/>
    <w:rsid w:val="003E490E"/>
    <w:rsid w:val="003E4DD1"/>
    <w:rsid w:val="003E5A82"/>
    <w:rsid w:val="003E5FDA"/>
    <w:rsid w:val="003E6B05"/>
    <w:rsid w:val="003E7354"/>
    <w:rsid w:val="003F06C0"/>
    <w:rsid w:val="003F0748"/>
    <w:rsid w:val="003F0BA8"/>
    <w:rsid w:val="003F165D"/>
    <w:rsid w:val="003F2183"/>
    <w:rsid w:val="003F3075"/>
    <w:rsid w:val="003F43CD"/>
    <w:rsid w:val="003F4C1B"/>
    <w:rsid w:val="003F4C25"/>
    <w:rsid w:val="003F5EB0"/>
    <w:rsid w:val="003F618B"/>
    <w:rsid w:val="003F697C"/>
    <w:rsid w:val="003F6B52"/>
    <w:rsid w:val="003F7C69"/>
    <w:rsid w:val="00400129"/>
    <w:rsid w:val="00402085"/>
    <w:rsid w:val="00402566"/>
    <w:rsid w:val="004031B5"/>
    <w:rsid w:val="00403869"/>
    <w:rsid w:val="004039D8"/>
    <w:rsid w:val="00403D96"/>
    <w:rsid w:val="00404A79"/>
    <w:rsid w:val="00405125"/>
    <w:rsid w:val="00405746"/>
    <w:rsid w:val="00405999"/>
    <w:rsid w:val="00405AD8"/>
    <w:rsid w:val="00406D2F"/>
    <w:rsid w:val="00407039"/>
    <w:rsid w:val="00407112"/>
    <w:rsid w:val="004100EE"/>
    <w:rsid w:val="00410214"/>
    <w:rsid w:val="00410EC1"/>
    <w:rsid w:val="004115E2"/>
    <w:rsid w:val="00411A21"/>
    <w:rsid w:val="00411FBC"/>
    <w:rsid w:val="004123F8"/>
    <w:rsid w:val="00412665"/>
    <w:rsid w:val="004128D4"/>
    <w:rsid w:val="00412B3F"/>
    <w:rsid w:val="00412D6C"/>
    <w:rsid w:val="00413727"/>
    <w:rsid w:val="00414676"/>
    <w:rsid w:val="0041487E"/>
    <w:rsid w:val="00415EEA"/>
    <w:rsid w:val="004161F4"/>
    <w:rsid w:val="00416F6A"/>
    <w:rsid w:val="0041741F"/>
    <w:rsid w:val="004178CF"/>
    <w:rsid w:val="00417E3A"/>
    <w:rsid w:val="00420144"/>
    <w:rsid w:val="00420421"/>
    <w:rsid w:val="00420444"/>
    <w:rsid w:val="00420F61"/>
    <w:rsid w:val="004210A7"/>
    <w:rsid w:val="00421380"/>
    <w:rsid w:val="0042147D"/>
    <w:rsid w:val="00421597"/>
    <w:rsid w:val="004228B5"/>
    <w:rsid w:val="00424E84"/>
    <w:rsid w:val="00425058"/>
    <w:rsid w:val="00425610"/>
    <w:rsid w:val="00425FAA"/>
    <w:rsid w:val="00425FCF"/>
    <w:rsid w:val="004265BB"/>
    <w:rsid w:val="00426ECB"/>
    <w:rsid w:val="004276E1"/>
    <w:rsid w:val="00427E2B"/>
    <w:rsid w:val="00430615"/>
    <w:rsid w:val="0043116E"/>
    <w:rsid w:val="00431200"/>
    <w:rsid w:val="00431A12"/>
    <w:rsid w:val="00431CC9"/>
    <w:rsid w:val="00431F82"/>
    <w:rsid w:val="00432261"/>
    <w:rsid w:val="004326A7"/>
    <w:rsid w:val="00432E6B"/>
    <w:rsid w:val="0043305C"/>
    <w:rsid w:val="004331E8"/>
    <w:rsid w:val="004339BA"/>
    <w:rsid w:val="00433B69"/>
    <w:rsid w:val="004346D8"/>
    <w:rsid w:val="00434DB0"/>
    <w:rsid w:val="004353D2"/>
    <w:rsid w:val="004355DE"/>
    <w:rsid w:val="00435656"/>
    <w:rsid w:val="004357CA"/>
    <w:rsid w:val="00435F76"/>
    <w:rsid w:val="004367BC"/>
    <w:rsid w:val="0043774D"/>
    <w:rsid w:val="00437ABD"/>
    <w:rsid w:val="0044017E"/>
    <w:rsid w:val="0044031B"/>
    <w:rsid w:val="00440639"/>
    <w:rsid w:val="00440894"/>
    <w:rsid w:val="00441207"/>
    <w:rsid w:val="00441333"/>
    <w:rsid w:val="00442777"/>
    <w:rsid w:val="00442C33"/>
    <w:rsid w:val="00443ABF"/>
    <w:rsid w:val="00443C63"/>
    <w:rsid w:val="0044404B"/>
    <w:rsid w:val="00444D4C"/>
    <w:rsid w:val="00444DCA"/>
    <w:rsid w:val="0044506E"/>
    <w:rsid w:val="00445141"/>
    <w:rsid w:val="00445919"/>
    <w:rsid w:val="00445C0D"/>
    <w:rsid w:val="00445C91"/>
    <w:rsid w:val="00446038"/>
    <w:rsid w:val="004477D0"/>
    <w:rsid w:val="0044796C"/>
    <w:rsid w:val="00447DED"/>
    <w:rsid w:val="00450B6A"/>
    <w:rsid w:val="004512A2"/>
    <w:rsid w:val="00451FC5"/>
    <w:rsid w:val="004522A7"/>
    <w:rsid w:val="004539EC"/>
    <w:rsid w:val="00453B01"/>
    <w:rsid w:val="00453B83"/>
    <w:rsid w:val="0045466E"/>
    <w:rsid w:val="00455041"/>
    <w:rsid w:val="004554CC"/>
    <w:rsid w:val="00456075"/>
    <w:rsid w:val="00456753"/>
    <w:rsid w:val="00456970"/>
    <w:rsid w:val="00456B49"/>
    <w:rsid w:val="00456EC8"/>
    <w:rsid w:val="0045790F"/>
    <w:rsid w:val="00457E32"/>
    <w:rsid w:val="004601A8"/>
    <w:rsid w:val="004604FB"/>
    <w:rsid w:val="00460D98"/>
    <w:rsid w:val="00461A0F"/>
    <w:rsid w:val="00461C29"/>
    <w:rsid w:val="004629C4"/>
    <w:rsid w:val="00462E87"/>
    <w:rsid w:val="00463167"/>
    <w:rsid w:val="00463169"/>
    <w:rsid w:val="00463C3D"/>
    <w:rsid w:val="004652CB"/>
    <w:rsid w:val="00466312"/>
    <w:rsid w:val="00467973"/>
    <w:rsid w:val="00467C3B"/>
    <w:rsid w:val="00467D99"/>
    <w:rsid w:val="00470C94"/>
    <w:rsid w:val="00470EB1"/>
    <w:rsid w:val="004715FB"/>
    <w:rsid w:val="004716A9"/>
    <w:rsid w:val="00472661"/>
    <w:rsid w:val="00472A2C"/>
    <w:rsid w:val="004744DD"/>
    <w:rsid w:val="00474F13"/>
    <w:rsid w:val="00474F70"/>
    <w:rsid w:val="00475527"/>
    <w:rsid w:val="004763CF"/>
    <w:rsid w:val="004771AE"/>
    <w:rsid w:val="004772B3"/>
    <w:rsid w:val="00480029"/>
    <w:rsid w:val="00480404"/>
    <w:rsid w:val="00480EAB"/>
    <w:rsid w:val="00481734"/>
    <w:rsid w:val="00481A49"/>
    <w:rsid w:val="0048211A"/>
    <w:rsid w:val="00482C34"/>
    <w:rsid w:val="00482DC6"/>
    <w:rsid w:val="0048365B"/>
    <w:rsid w:val="0048495D"/>
    <w:rsid w:val="0048530E"/>
    <w:rsid w:val="00485910"/>
    <w:rsid w:val="00485F4E"/>
    <w:rsid w:val="004868F9"/>
    <w:rsid w:val="0048706D"/>
    <w:rsid w:val="004872E1"/>
    <w:rsid w:val="0049053C"/>
    <w:rsid w:val="004908FB"/>
    <w:rsid w:val="00490D5C"/>
    <w:rsid w:val="00491675"/>
    <w:rsid w:val="00493720"/>
    <w:rsid w:val="004937C2"/>
    <w:rsid w:val="00493B7C"/>
    <w:rsid w:val="00493FDF"/>
    <w:rsid w:val="00494403"/>
    <w:rsid w:val="00494DA2"/>
    <w:rsid w:val="0049550D"/>
    <w:rsid w:val="0049550E"/>
    <w:rsid w:val="00495D5F"/>
    <w:rsid w:val="004966B3"/>
    <w:rsid w:val="00497036"/>
    <w:rsid w:val="00497532"/>
    <w:rsid w:val="00497978"/>
    <w:rsid w:val="004A06F2"/>
    <w:rsid w:val="004A0B7E"/>
    <w:rsid w:val="004A0BF4"/>
    <w:rsid w:val="004A11BC"/>
    <w:rsid w:val="004A1593"/>
    <w:rsid w:val="004A1814"/>
    <w:rsid w:val="004A208F"/>
    <w:rsid w:val="004A28DF"/>
    <w:rsid w:val="004A2C80"/>
    <w:rsid w:val="004A347C"/>
    <w:rsid w:val="004A3B44"/>
    <w:rsid w:val="004A3C3C"/>
    <w:rsid w:val="004A50DD"/>
    <w:rsid w:val="004A5314"/>
    <w:rsid w:val="004A5A18"/>
    <w:rsid w:val="004A5C4F"/>
    <w:rsid w:val="004A7877"/>
    <w:rsid w:val="004A7878"/>
    <w:rsid w:val="004B04D6"/>
    <w:rsid w:val="004B11DB"/>
    <w:rsid w:val="004B1539"/>
    <w:rsid w:val="004B2F42"/>
    <w:rsid w:val="004B3741"/>
    <w:rsid w:val="004B3CA6"/>
    <w:rsid w:val="004B64E1"/>
    <w:rsid w:val="004B651E"/>
    <w:rsid w:val="004B6F0B"/>
    <w:rsid w:val="004B7FAD"/>
    <w:rsid w:val="004C0006"/>
    <w:rsid w:val="004C0368"/>
    <w:rsid w:val="004C0925"/>
    <w:rsid w:val="004C09DA"/>
    <w:rsid w:val="004C0F38"/>
    <w:rsid w:val="004C1708"/>
    <w:rsid w:val="004C2118"/>
    <w:rsid w:val="004C238E"/>
    <w:rsid w:val="004C2B1A"/>
    <w:rsid w:val="004C3161"/>
    <w:rsid w:val="004C3BE6"/>
    <w:rsid w:val="004C4463"/>
    <w:rsid w:val="004C4CDD"/>
    <w:rsid w:val="004C5D19"/>
    <w:rsid w:val="004C6233"/>
    <w:rsid w:val="004C6CB3"/>
    <w:rsid w:val="004C6EAF"/>
    <w:rsid w:val="004D05A6"/>
    <w:rsid w:val="004D1305"/>
    <w:rsid w:val="004D178C"/>
    <w:rsid w:val="004D23CB"/>
    <w:rsid w:val="004D2BDB"/>
    <w:rsid w:val="004D42BE"/>
    <w:rsid w:val="004D462B"/>
    <w:rsid w:val="004D496C"/>
    <w:rsid w:val="004D4E10"/>
    <w:rsid w:val="004D4E75"/>
    <w:rsid w:val="004D5015"/>
    <w:rsid w:val="004D50EE"/>
    <w:rsid w:val="004D61FC"/>
    <w:rsid w:val="004D6840"/>
    <w:rsid w:val="004D6CDD"/>
    <w:rsid w:val="004D7A94"/>
    <w:rsid w:val="004E010E"/>
    <w:rsid w:val="004E039A"/>
    <w:rsid w:val="004E0853"/>
    <w:rsid w:val="004E168D"/>
    <w:rsid w:val="004E1A32"/>
    <w:rsid w:val="004E2022"/>
    <w:rsid w:val="004E2776"/>
    <w:rsid w:val="004E2A61"/>
    <w:rsid w:val="004E2B64"/>
    <w:rsid w:val="004E4801"/>
    <w:rsid w:val="004E4999"/>
    <w:rsid w:val="004E4DF0"/>
    <w:rsid w:val="004E4E58"/>
    <w:rsid w:val="004E553E"/>
    <w:rsid w:val="004E5930"/>
    <w:rsid w:val="004E5F50"/>
    <w:rsid w:val="004E7132"/>
    <w:rsid w:val="004F0271"/>
    <w:rsid w:val="004F1174"/>
    <w:rsid w:val="004F1F43"/>
    <w:rsid w:val="004F3796"/>
    <w:rsid w:val="004F41A4"/>
    <w:rsid w:val="004F467D"/>
    <w:rsid w:val="004F4831"/>
    <w:rsid w:val="004F52E1"/>
    <w:rsid w:val="004F5394"/>
    <w:rsid w:val="004F6B67"/>
    <w:rsid w:val="004F6C48"/>
    <w:rsid w:val="004F6F70"/>
    <w:rsid w:val="004F7A90"/>
    <w:rsid w:val="0050108C"/>
    <w:rsid w:val="00501B5C"/>
    <w:rsid w:val="00501C0A"/>
    <w:rsid w:val="00503380"/>
    <w:rsid w:val="00503AEB"/>
    <w:rsid w:val="00503FBC"/>
    <w:rsid w:val="00504939"/>
    <w:rsid w:val="005049BB"/>
    <w:rsid w:val="00504F2C"/>
    <w:rsid w:val="005058E9"/>
    <w:rsid w:val="005059D2"/>
    <w:rsid w:val="005065A9"/>
    <w:rsid w:val="00506DDC"/>
    <w:rsid w:val="00506EAE"/>
    <w:rsid w:val="0050702C"/>
    <w:rsid w:val="0050713B"/>
    <w:rsid w:val="005071D5"/>
    <w:rsid w:val="00507B2C"/>
    <w:rsid w:val="00507B41"/>
    <w:rsid w:val="005100B7"/>
    <w:rsid w:val="00510854"/>
    <w:rsid w:val="00510AAA"/>
    <w:rsid w:val="00510AE0"/>
    <w:rsid w:val="00510BCE"/>
    <w:rsid w:val="00510F58"/>
    <w:rsid w:val="00511C2E"/>
    <w:rsid w:val="00511D1D"/>
    <w:rsid w:val="00512481"/>
    <w:rsid w:val="00512578"/>
    <w:rsid w:val="00513E0E"/>
    <w:rsid w:val="005140EC"/>
    <w:rsid w:val="005141A1"/>
    <w:rsid w:val="00514342"/>
    <w:rsid w:val="00514395"/>
    <w:rsid w:val="00514C4C"/>
    <w:rsid w:val="005151C8"/>
    <w:rsid w:val="0051562C"/>
    <w:rsid w:val="00515883"/>
    <w:rsid w:val="00515990"/>
    <w:rsid w:val="00515C0E"/>
    <w:rsid w:val="005162A6"/>
    <w:rsid w:val="00516604"/>
    <w:rsid w:val="00516EF6"/>
    <w:rsid w:val="00517D15"/>
    <w:rsid w:val="00521785"/>
    <w:rsid w:val="00521B90"/>
    <w:rsid w:val="00521D46"/>
    <w:rsid w:val="00522A8A"/>
    <w:rsid w:val="0052379A"/>
    <w:rsid w:val="00523986"/>
    <w:rsid w:val="00527D37"/>
    <w:rsid w:val="005300A4"/>
    <w:rsid w:val="00530577"/>
    <w:rsid w:val="0053076B"/>
    <w:rsid w:val="00531352"/>
    <w:rsid w:val="00531DAD"/>
    <w:rsid w:val="00531F9B"/>
    <w:rsid w:val="005321E6"/>
    <w:rsid w:val="0053232E"/>
    <w:rsid w:val="005324FF"/>
    <w:rsid w:val="00533DF5"/>
    <w:rsid w:val="00533F89"/>
    <w:rsid w:val="0053474A"/>
    <w:rsid w:val="00535B28"/>
    <w:rsid w:val="005360EB"/>
    <w:rsid w:val="0053638B"/>
    <w:rsid w:val="005367EC"/>
    <w:rsid w:val="0053743F"/>
    <w:rsid w:val="005404D8"/>
    <w:rsid w:val="0054136C"/>
    <w:rsid w:val="00541377"/>
    <w:rsid w:val="005420FC"/>
    <w:rsid w:val="00543697"/>
    <w:rsid w:val="00544990"/>
    <w:rsid w:val="00544C39"/>
    <w:rsid w:val="00544E54"/>
    <w:rsid w:val="005458CB"/>
    <w:rsid w:val="005458FA"/>
    <w:rsid w:val="00545A5A"/>
    <w:rsid w:val="00545F0F"/>
    <w:rsid w:val="00546753"/>
    <w:rsid w:val="00546E9F"/>
    <w:rsid w:val="00547133"/>
    <w:rsid w:val="00547145"/>
    <w:rsid w:val="00547611"/>
    <w:rsid w:val="005505BD"/>
    <w:rsid w:val="0055147F"/>
    <w:rsid w:val="00551FA4"/>
    <w:rsid w:val="0055281D"/>
    <w:rsid w:val="00552921"/>
    <w:rsid w:val="00552D7F"/>
    <w:rsid w:val="0055412F"/>
    <w:rsid w:val="0055414D"/>
    <w:rsid w:val="00554686"/>
    <w:rsid w:val="00554E62"/>
    <w:rsid w:val="005557A0"/>
    <w:rsid w:val="00557017"/>
    <w:rsid w:val="005572F3"/>
    <w:rsid w:val="005579AF"/>
    <w:rsid w:val="00557E0A"/>
    <w:rsid w:val="00557EDD"/>
    <w:rsid w:val="005640F2"/>
    <w:rsid w:val="005648F4"/>
    <w:rsid w:val="005649E6"/>
    <w:rsid w:val="00564A31"/>
    <w:rsid w:val="00564C08"/>
    <w:rsid w:val="00564D3C"/>
    <w:rsid w:val="00564FF7"/>
    <w:rsid w:val="0056693A"/>
    <w:rsid w:val="00567822"/>
    <w:rsid w:val="005678B0"/>
    <w:rsid w:val="0057005A"/>
    <w:rsid w:val="0057094B"/>
    <w:rsid w:val="00571BD3"/>
    <w:rsid w:val="005724B6"/>
    <w:rsid w:val="00573048"/>
    <w:rsid w:val="00573281"/>
    <w:rsid w:val="0057399A"/>
    <w:rsid w:val="00573DE8"/>
    <w:rsid w:val="0057449B"/>
    <w:rsid w:val="00574507"/>
    <w:rsid w:val="00574D21"/>
    <w:rsid w:val="00574FDB"/>
    <w:rsid w:val="005755C2"/>
    <w:rsid w:val="005756E7"/>
    <w:rsid w:val="0057586A"/>
    <w:rsid w:val="00575D65"/>
    <w:rsid w:val="00575DAB"/>
    <w:rsid w:val="005763B3"/>
    <w:rsid w:val="00577370"/>
    <w:rsid w:val="0057744F"/>
    <w:rsid w:val="00577CF1"/>
    <w:rsid w:val="00577E7F"/>
    <w:rsid w:val="005800FB"/>
    <w:rsid w:val="00580BB5"/>
    <w:rsid w:val="00581422"/>
    <w:rsid w:val="00581650"/>
    <w:rsid w:val="00581AB1"/>
    <w:rsid w:val="005821BC"/>
    <w:rsid w:val="0058298A"/>
    <w:rsid w:val="00582A7A"/>
    <w:rsid w:val="00584235"/>
    <w:rsid w:val="005843A4"/>
    <w:rsid w:val="0058470F"/>
    <w:rsid w:val="00584A2C"/>
    <w:rsid w:val="00584DBB"/>
    <w:rsid w:val="00584DEC"/>
    <w:rsid w:val="00586586"/>
    <w:rsid w:val="00587BAD"/>
    <w:rsid w:val="00590100"/>
    <w:rsid w:val="00590D4E"/>
    <w:rsid w:val="00591F75"/>
    <w:rsid w:val="005922C3"/>
    <w:rsid w:val="0059414A"/>
    <w:rsid w:val="00594B96"/>
    <w:rsid w:val="00594C94"/>
    <w:rsid w:val="005954EE"/>
    <w:rsid w:val="005956ED"/>
    <w:rsid w:val="00595C57"/>
    <w:rsid w:val="00595C6E"/>
    <w:rsid w:val="00595F07"/>
    <w:rsid w:val="00595F8B"/>
    <w:rsid w:val="0059662C"/>
    <w:rsid w:val="0059682D"/>
    <w:rsid w:val="00597201"/>
    <w:rsid w:val="005A01D6"/>
    <w:rsid w:val="005A0506"/>
    <w:rsid w:val="005A064E"/>
    <w:rsid w:val="005A1AA8"/>
    <w:rsid w:val="005A1AFE"/>
    <w:rsid w:val="005A1C12"/>
    <w:rsid w:val="005A38AB"/>
    <w:rsid w:val="005A3BEA"/>
    <w:rsid w:val="005A3E5A"/>
    <w:rsid w:val="005A4006"/>
    <w:rsid w:val="005A4229"/>
    <w:rsid w:val="005A49D3"/>
    <w:rsid w:val="005A4F41"/>
    <w:rsid w:val="005A5946"/>
    <w:rsid w:val="005A5B0B"/>
    <w:rsid w:val="005A628C"/>
    <w:rsid w:val="005A6632"/>
    <w:rsid w:val="005A68C8"/>
    <w:rsid w:val="005A6A35"/>
    <w:rsid w:val="005A6B49"/>
    <w:rsid w:val="005A731E"/>
    <w:rsid w:val="005A75A2"/>
    <w:rsid w:val="005B0404"/>
    <w:rsid w:val="005B0988"/>
    <w:rsid w:val="005B0A17"/>
    <w:rsid w:val="005B0B2A"/>
    <w:rsid w:val="005B0E7B"/>
    <w:rsid w:val="005B1639"/>
    <w:rsid w:val="005B1EDA"/>
    <w:rsid w:val="005B2A64"/>
    <w:rsid w:val="005B4831"/>
    <w:rsid w:val="005B54F2"/>
    <w:rsid w:val="005B5D8B"/>
    <w:rsid w:val="005B62A7"/>
    <w:rsid w:val="005B6D68"/>
    <w:rsid w:val="005B71F8"/>
    <w:rsid w:val="005B7B85"/>
    <w:rsid w:val="005B7CA9"/>
    <w:rsid w:val="005C14F5"/>
    <w:rsid w:val="005C3157"/>
    <w:rsid w:val="005C3368"/>
    <w:rsid w:val="005C385A"/>
    <w:rsid w:val="005C40B9"/>
    <w:rsid w:val="005C4904"/>
    <w:rsid w:val="005C4B8F"/>
    <w:rsid w:val="005C4C5C"/>
    <w:rsid w:val="005C4E79"/>
    <w:rsid w:val="005C54B9"/>
    <w:rsid w:val="005C6021"/>
    <w:rsid w:val="005C648A"/>
    <w:rsid w:val="005C7132"/>
    <w:rsid w:val="005C7A00"/>
    <w:rsid w:val="005C7CE5"/>
    <w:rsid w:val="005D0040"/>
    <w:rsid w:val="005D02D2"/>
    <w:rsid w:val="005D04DB"/>
    <w:rsid w:val="005D064F"/>
    <w:rsid w:val="005D085A"/>
    <w:rsid w:val="005D0A64"/>
    <w:rsid w:val="005D0E91"/>
    <w:rsid w:val="005D1269"/>
    <w:rsid w:val="005D1D0F"/>
    <w:rsid w:val="005D1E4A"/>
    <w:rsid w:val="005D2016"/>
    <w:rsid w:val="005D2A20"/>
    <w:rsid w:val="005D2F96"/>
    <w:rsid w:val="005D3116"/>
    <w:rsid w:val="005D3450"/>
    <w:rsid w:val="005D3FD8"/>
    <w:rsid w:val="005D4A9D"/>
    <w:rsid w:val="005D4FDA"/>
    <w:rsid w:val="005D53A6"/>
    <w:rsid w:val="005D624F"/>
    <w:rsid w:val="005D6250"/>
    <w:rsid w:val="005D739D"/>
    <w:rsid w:val="005E004D"/>
    <w:rsid w:val="005E0AC5"/>
    <w:rsid w:val="005E14C8"/>
    <w:rsid w:val="005E15AB"/>
    <w:rsid w:val="005E2294"/>
    <w:rsid w:val="005E36A3"/>
    <w:rsid w:val="005E487B"/>
    <w:rsid w:val="005E4ACA"/>
    <w:rsid w:val="005E4C32"/>
    <w:rsid w:val="005E51F1"/>
    <w:rsid w:val="005E54FA"/>
    <w:rsid w:val="005E5AFB"/>
    <w:rsid w:val="005E5D40"/>
    <w:rsid w:val="005E645B"/>
    <w:rsid w:val="005E654F"/>
    <w:rsid w:val="005E6DD4"/>
    <w:rsid w:val="005E6F7A"/>
    <w:rsid w:val="005E70CC"/>
    <w:rsid w:val="005F062E"/>
    <w:rsid w:val="005F06BB"/>
    <w:rsid w:val="005F149C"/>
    <w:rsid w:val="005F19B9"/>
    <w:rsid w:val="005F1BAF"/>
    <w:rsid w:val="005F1BF1"/>
    <w:rsid w:val="005F2FB2"/>
    <w:rsid w:val="005F3155"/>
    <w:rsid w:val="005F31F1"/>
    <w:rsid w:val="005F32D9"/>
    <w:rsid w:val="005F4841"/>
    <w:rsid w:val="005F5582"/>
    <w:rsid w:val="005F5699"/>
    <w:rsid w:val="005F6333"/>
    <w:rsid w:val="005F6A29"/>
    <w:rsid w:val="005F6B80"/>
    <w:rsid w:val="005F792B"/>
    <w:rsid w:val="00600946"/>
    <w:rsid w:val="006018E3"/>
    <w:rsid w:val="00601B32"/>
    <w:rsid w:val="00601F27"/>
    <w:rsid w:val="0060226A"/>
    <w:rsid w:val="00603C0A"/>
    <w:rsid w:val="0060429B"/>
    <w:rsid w:val="006045B1"/>
    <w:rsid w:val="0060466C"/>
    <w:rsid w:val="00605081"/>
    <w:rsid w:val="00606120"/>
    <w:rsid w:val="00606470"/>
    <w:rsid w:val="006074C8"/>
    <w:rsid w:val="00607669"/>
    <w:rsid w:val="00607C3C"/>
    <w:rsid w:val="00607E4C"/>
    <w:rsid w:val="006108B0"/>
    <w:rsid w:val="0061149A"/>
    <w:rsid w:val="0061156A"/>
    <w:rsid w:val="00611DEE"/>
    <w:rsid w:val="006126DB"/>
    <w:rsid w:val="006129B6"/>
    <w:rsid w:val="00612D1F"/>
    <w:rsid w:val="006137E8"/>
    <w:rsid w:val="006138CA"/>
    <w:rsid w:val="00613D38"/>
    <w:rsid w:val="00614463"/>
    <w:rsid w:val="00614E55"/>
    <w:rsid w:val="0061530C"/>
    <w:rsid w:val="0061533D"/>
    <w:rsid w:val="006154D6"/>
    <w:rsid w:val="00615778"/>
    <w:rsid w:val="00615CF8"/>
    <w:rsid w:val="006160C3"/>
    <w:rsid w:val="006162B3"/>
    <w:rsid w:val="0061657A"/>
    <w:rsid w:val="00616973"/>
    <w:rsid w:val="006173BE"/>
    <w:rsid w:val="00617843"/>
    <w:rsid w:val="00617DD1"/>
    <w:rsid w:val="00620D54"/>
    <w:rsid w:val="00621B62"/>
    <w:rsid w:val="00621FEE"/>
    <w:rsid w:val="006229ED"/>
    <w:rsid w:val="0062363F"/>
    <w:rsid w:val="00623961"/>
    <w:rsid w:val="006248AD"/>
    <w:rsid w:val="00624B85"/>
    <w:rsid w:val="00624C19"/>
    <w:rsid w:val="00625106"/>
    <w:rsid w:val="00625223"/>
    <w:rsid w:val="0062529F"/>
    <w:rsid w:val="00625BBF"/>
    <w:rsid w:val="006272A7"/>
    <w:rsid w:val="006279C3"/>
    <w:rsid w:val="006307C9"/>
    <w:rsid w:val="0063166B"/>
    <w:rsid w:val="0063308A"/>
    <w:rsid w:val="00633765"/>
    <w:rsid w:val="00633861"/>
    <w:rsid w:val="006339D5"/>
    <w:rsid w:val="00633AC3"/>
    <w:rsid w:val="0063406C"/>
    <w:rsid w:val="006346DF"/>
    <w:rsid w:val="006363B9"/>
    <w:rsid w:val="006378F1"/>
    <w:rsid w:val="00637AC6"/>
    <w:rsid w:val="00637CF2"/>
    <w:rsid w:val="00640594"/>
    <w:rsid w:val="006419D8"/>
    <w:rsid w:val="00641A49"/>
    <w:rsid w:val="00643EF8"/>
    <w:rsid w:val="006440F1"/>
    <w:rsid w:val="006447E1"/>
    <w:rsid w:val="00644F65"/>
    <w:rsid w:val="00645458"/>
    <w:rsid w:val="006454F5"/>
    <w:rsid w:val="00645AA9"/>
    <w:rsid w:val="00646A45"/>
    <w:rsid w:val="00647689"/>
    <w:rsid w:val="006477BB"/>
    <w:rsid w:val="00650D76"/>
    <w:rsid w:val="00651013"/>
    <w:rsid w:val="00651866"/>
    <w:rsid w:val="006518AB"/>
    <w:rsid w:val="00651E15"/>
    <w:rsid w:val="00652B9D"/>
    <w:rsid w:val="00652C4D"/>
    <w:rsid w:val="00652D3B"/>
    <w:rsid w:val="006531AD"/>
    <w:rsid w:val="0065488D"/>
    <w:rsid w:val="006560D1"/>
    <w:rsid w:val="00656E32"/>
    <w:rsid w:val="0065706E"/>
    <w:rsid w:val="006570FA"/>
    <w:rsid w:val="006578B2"/>
    <w:rsid w:val="00657953"/>
    <w:rsid w:val="0065795E"/>
    <w:rsid w:val="00657E8E"/>
    <w:rsid w:val="00661ECF"/>
    <w:rsid w:val="0066371C"/>
    <w:rsid w:val="00664774"/>
    <w:rsid w:val="0066501A"/>
    <w:rsid w:val="00665152"/>
    <w:rsid w:val="0066567B"/>
    <w:rsid w:val="00665914"/>
    <w:rsid w:val="006669F1"/>
    <w:rsid w:val="00666DD2"/>
    <w:rsid w:val="00670FAD"/>
    <w:rsid w:val="00671666"/>
    <w:rsid w:val="006724AB"/>
    <w:rsid w:val="00673E11"/>
    <w:rsid w:val="006742DD"/>
    <w:rsid w:val="00675403"/>
    <w:rsid w:val="00675FF2"/>
    <w:rsid w:val="0067721B"/>
    <w:rsid w:val="00677873"/>
    <w:rsid w:val="00680034"/>
    <w:rsid w:val="006803C8"/>
    <w:rsid w:val="00680504"/>
    <w:rsid w:val="00680D6B"/>
    <w:rsid w:val="0068163C"/>
    <w:rsid w:val="00681A35"/>
    <w:rsid w:val="00681B66"/>
    <w:rsid w:val="00681BAF"/>
    <w:rsid w:val="006822A9"/>
    <w:rsid w:val="0068457A"/>
    <w:rsid w:val="006845FA"/>
    <w:rsid w:val="00684A04"/>
    <w:rsid w:val="00684CE1"/>
    <w:rsid w:val="0068542C"/>
    <w:rsid w:val="006860E5"/>
    <w:rsid w:val="0068719D"/>
    <w:rsid w:val="0068729D"/>
    <w:rsid w:val="00690139"/>
    <w:rsid w:val="00690A1D"/>
    <w:rsid w:val="00690A76"/>
    <w:rsid w:val="00690B54"/>
    <w:rsid w:val="00691AB1"/>
    <w:rsid w:val="006927BC"/>
    <w:rsid w:val="0069465F"/>
    <w:rsid w:val="00694E6F"/>
    <w:rsid w:val="00694FD3"/>
    <w:rsid w:val="006950E1"/>
    <w:rsid w:val="0069600C"/>
    <w:rsid w:val="006969A6"/>
    <w:rsid w:val="00697564"/>
    <w:rsid w:val="00697A07"/>
    <w:rsid w:val="006A0117"/>
    <w:rsid w:val="006A087F"/>
    <w:rsid w:val="006A09C2"/>
    <w:rsid w:val="006A1786"/>
    <w:rsid w:val="006A2013"/>
    <w:rsid w:val="006A21D6"/>
    <w:rsid w:val="006A28FD"/>
    <w:rsid w:val="006A2CC2"/>
    <w:rsid w:val="006A2DF7"/>
    <w:rsid w:val="006A42BD"/>
    <w:rsid w:val="006A477B"/>
    <w:rsid w:val="006A4DC8"/>
    <w:rsid w:val="006A5A4D"/>
    <w:rsid w:val="006A7D13"/>
    <w:rsid w:val="006A7F16"/>
    <w:rsid w:val="006B1754"/>
    <w:rsid w:val="006B1994"/>
    <w:rsid w:val="006B1B0F"/>
    <w:rsid w:val="006B2BD3"/>
    <w:rsid w:val="006B3513"/>
    <w:rsid w:val="006B371F"/>
    <w:rsid w:val="006B3A54"/>
    <w:rsid w:val="006B3C73"/>
    <w:rsid w:val="006B4057"/>
    <w:rsid w:val="006B4970"/>
    <w:rsid w:val="006B4E7F"/>
    <w:rsid w:val="006B5188"/>
    <w:rsid w:val="006B5B02"/>
    <w:rsid w:val="006B5DE5"/>
    <w:rsid w:val="006C1BE5"/>
    <w:rsid w:val="006C493A"/>
    <w:rsid w:val="006C532F"/>
    <w:rsid w:val="006C5D5B"/>
    <w:rsid w:val="006C5FFD"/>
    <w:rsid w:val="006C697B"/>
    <w:rsid w:val="006C6FB7"/>
    <w:rsid w:val="006C6FE6"/>
    <w:rsid w:val="006C737D"/>
    <w:rsid w:val="006C772B"/>
    <w:rsid w:val="006C7866"/>
    <w:rsid w:val="006C7B8A"/>
    <w:rsid w:val="006C7F83"/>
    <w:rsid w:val="006D0102"/>
    <w:rsid w:val="006D0850"/>
    <w:rsid w:val="006D158A"/>
    <w:rsid w:val="006D1EBF"/>
    <w:rsid w:val="006D28F7"/>
    <w:rsid w:val="006D2D81"/>
    <w:rsid w:val="006D36F3"/>
    <w:rsid w:val="006D41B8"/>
    <w:rsid w:val="006D4BAC"/>
    <w:rsid w:val="006D5925"/>
    <w:rsid w:val="006D5AA5"/>
    <w:rsid w:val="006D6791"/>
    <w:rsid w:val="006D6A54"/>
    <w:rsid w:val="006D6C5D"/>
    <w:rsid w:val="006D75B5"/>
    <w:rsid w:val="006D7666"/>
    <w:rsid w:val="006D7A68"/>
    <w:rsid w:val="006D7F91"/>
    <w:rsid w:val="006E04AB"/>
    <w:rsid w:val="006E0E42"/>
    <w:rsid w:val="006E362D"/>
    <w:rsid w:val="006E3F7D"/>
    <w:rsid w:val="006E4783"/>
    <w:rsid w:val="006E51DB"/>
    <w:rsid w:val="006F00D2"/>
    <w:rsid w:val="006F02A2"/>
    <w:rsid w:val="006F1540"/>
    <w:rsid w:val="006F1771"/>
    <w:rsid w:val="006F2231"/>
    <w:rsid w:val="006F2A9F"/>
    <w:rsid w:val="006F4882"/>
    <w:rsid w:val="006F49B6"/>
    <w:rsid w:val="006F5BA5"/>
    <w:rsid w:val="006F6264"/>
    <w:rsid w:val="006F66BB"/>
    <w:rsid w:val="006F7018"/>
    <w:rsid w:val="006F778B"/>
    <w:rsid w:val="0070091C"/>
    <w:rsid w:val="00701A85"/>
    <w:rsid w:val="00702838"/>
    <w:rsid w:val="00702C3A"/>
    <w:rsid w:val="00702CFC"/>
    <w:rsid w:val="00702E85"/>
    <w:rsid w:val="00703565"/>
    <w:rsid w:val="00703868"/>
    <w:rsid w:val="0070459D"/>
    <w:rsid w:val="00704B58"/>
    <w:rsid w:val="00704C91"/>
    <w:rsid w:val="00705E86"/>
    <w:rsid w:val="00705FD8"/>
    <w:rsid w:val="0070699E"/>
    <w:rsid w:val="00706B00"/>
    <w:rsid w:val="007076BF"/>
    <w:rsid w:val="007107B8"/>
    <w:rsid w:val="00711020"/>
    <w:rsid w:val="007116B0"/>
    <w:rsid w:val="007129E3"/>
    <w:rsid w:val="00713C61"/>
    <w:rsid w:val="00713EC6"/>
    <w:rsid w:val="00714043"/>
    <w:rsid w:val="007154B8"/>
    <w:rsid w:val="00715AC1"/>
    <w:rsid w:val="00716244"/>
    <w:rsid w:val="00716D16"/>
    <w:rsid w:val="0072049E"/>
    <w:rsid w:val="00720507"/>
    <w:rsid w:val="00720531"/>
    <w:rsid w:val="00720D1A"/>
    <w:rsid w:val="007214DE"/>
    <w:rsid w:val="0072218B"/>
    <w:rsid w:val="007224C3"/>
    <w:rsid w:val="00722A21"/>
    <w:rsid w:val="00722A3C"/>
    <w:rsid w:val="00722A69"/>
    <w:rsid w:val="007240F4"/>
    <w:rsid w:val="007241CA"/>
    <w:rsid w:val="00725428"/>
    <w:rsid w:val="007260DD"/>
    <w:rsid w:val="00726D60"/>
    <w:rsid w:val="00726DD6"/>
    <w:rsid w:val="007279C4"/>
    <w:rsid w:val="00727A87"/>
    <w:rsid w:val="00727F7E"/>
    <w:rsid w:val="0073092C"/>
    <w:rsid w:val="00730E80"/>
    <w:rsid w:val="007310FD"/>
    <w:rsid w:val="007311A5"/>
    <w:rsid w:val="007324A6"/>
    <w:rsid w:val="00732B24"/>
    <w:rsid w:val="0073308D"/>
    <w:rsid w:val="0073308E"/>
    <w:rsid w:val="00733382"/>
    <w:rsid w:val="00733AC2"/>
    <w:rsid w:val="00733B28"/>
    <w:rsid w:val="007354FC"/>
    <w:rsid w:val="007361AF"/>
    <w:rsid w:val="007364C7"/>
    <w:rsid w:val="00736738"/>
    <w:rsid w:val="0073716A"/>
    <w:rsid w:val="00740C5D"/>
    <w:rsid w:val="007412B2"/>
    <w:rsid w:val="00741509"/>
    <w:rsid w:val="00741A78"/>
    <w:rsid w:val="007421A1"/>
    <w:rsid w:val="007426BB"/>
    <w:rsid w:val="0074338D"/>
    <w:rsid w:val="00743E61"/>
    <w:rsid w:val="007445DB"/>
    <w:rsid w:val="00744D01"/>
    <w:rsid w:val="007453B9"/>
    <w:rsid w:val="007457E0"/>
    <w:rsid w:val="00745877"/>
    <w:rsid w:val="007463AC"/>
    <w:rsid w:val="00747607"/>
    <w:rsid w:val="0074782C"/>
    <w:rsid w:val="00747976"/>
    <w:rsid w:val="00747CA5"/>
    <w:rsid w:val="00747F18"/>
    <w:rsid w:val="00750339"/>
    <w:rsid w:val="00750BB2"/>
    <w:rsid w:val="007512B6"/>
    <w:rsid w:val="007516A5"/>
    <w:rsid w:val="00752A9A"/>
    <w:rsid w:val="0075348E"/>
    <w:rsid w:val="007549B5"/>
    <w:rsid w:val="00755600"/>
    <w:rsid w:val="00755BE2"/>
    <w:rsid w:val="00755F7E"/>
    <w:rsid w:val="0075639E"/>
    <w:rsid w:val="00756F92"/>
    <w:rsid w:val="00757460"/>
    <w:rsid w:val="00757741"/>
    <w:rsid w:val="00757DB4"/>
    <w:rsid w:val="00757F21"/>
    <w:rsid w:val="00760621"/>
    <w:rsid w:val="00761143"/>
    <w:rsid w:val="00761332"/>
    <w:rsid w:val="0076176E"/>
    <w:rsid w:val="00761800"/>
    <w:rsid w:val="007619A2"/>
    <w:rsid w:val="007619CA"/>
    <w:rsid w:val="00761EF2"/>
    <w:rsid w:val="00761EFC"/>
    <w:rsid w:val="007627E0"/>
    <w:rsid w:val="00762FF7"/>
    <w:rsid w:val="00763D55"/>
    <w:rsid w:val="00763DC4"/>
    <w:rsid w:val="00764877"/>
    <w:rsid w:val="00764FE6"/>
    <w:rsid w:val="0076571A"/>
    <w:rsid w:val="007657D6"/>
    <w:rsid w:val="0077030F"/>
    <w:rsid w:val="00770D73"/>
    <w:rsid w:val="00770F26"/>
    <w:rsid w:val="007712D6"/>
    <w:rsid w:val="0077169F"/>
    <w:rsid w:val="007717F6"/>
    <w:rsid w:val="00772040"/>
    <w:rsid w:val="007725F3"/>
    <w:rsid w:val="007729ED"/>
    <w:rsid w:val="0077437C"/>
    <w:rsid w:val="00774AC3"/>
    <w:rsid w:val="0077544D"/>
    <w:rsid w:val="007756B8"/>
    <w:rsid w:val="00775D0D"/>
    <w:rsid w:val="00776752"/>
    <w:rsid w:val="00776E41"/>
    <w:rsid w:val="00776F77"/>
    <w:rsid w:val="00777F5E"/>
    <w:rsid w:val="0078057C"/>
    <w:rsid w:val="00781F67"/>
    <w:rsid w:val="00782F44"/>
    <w:rsid w:val="007831BF"/>
    <w:rsid w:val="00783C14"/>
    <w:rsid w:val="00783EAC"/>
    <w:rsid w:val="007845A5"/>
    <w:rsid w:val="00784D91"/>
    <w:rsid w:val="00784E3E"/>
    <w:rsid w:val="00786F2B"/>
    <w:rsid w:val="0079038E"/>
    <w:rsid w:val="00790BA6"/>
    <w:rsid w:val="007912B8"/>
    <w:rsid w:val="00791C7B"/>
    <w:rsid w:val="0079205C"/>
    <w:rsid w:val="007930DC"/>
    <w:rsid w:val="007935D1"/>
    <w:rsid w:val="00793EA9"/>
    <w:rsid w:val="00793F03"/>
    <w:rsid w:val="00794993"/>
    <w:rsid w:val="007953A0"/>
    <w:rsid w:val="00795CC6"/>
    <w:rsid w:val="00795EFF"/>
    <w:rsid w:val="007971A8"/>
    <w:rsid w:val="0079731C"/>
    <w:rsid w:val="007A11F6"/>
    <w:rsid w:val="007A19C2"/>
    <w:rsid w:val="007A1D47"/>
    <w:rsid w:val="007A2456"/>
    <w:rsid w:val="007A2884"/>
    <w:rsid w:val="007A2BB9"/>
    <w:rsid w:val="007A2ED3"/>
    <w:rsid w:val="007A32D7"/>
    <w:rsid w:val="007A349D"/>
    <w:rsid w:val="007A3770"/>
    <w:rsid w:val="007A3B33"/>
    <w:rsid w:val="007A4B2F"/>
    <w:rsid w:val="007A5380"/>
    <w:rsid w:val="007A61E3"/>
    <w:rsid w:val="007A6A8B"/>
    <w:rsid w:val="007A7BED"/>
    <w:rsid w:val="007A7E7F"/>
    <w:rsid w:val="007B084D"/>
    <w:rsid w:val="007B1C87"/>
    <w:rsid w:val="007B2D1B"/>
    <w:rsid w:val="007B2EFC"/>
    <w:rsid w:val="007B2F49"/>
    <w:rsid w:val="007B2F78"/>
    <w:rsid w:val="007B3797"/>
    <w:rsid w:val="007B5339"/>
    <w:rsid w:val="007B543A"/>
    <w:rsid w:val="007B5758"/>
    <w:rsid w:val="007B60DC"/>
    <w:rsid w:val="007B6631"/>
    <w:rsid w:val="007B71A7"/>
    <w:rsid w:val="007B7600"/>
    <w:rsid w:val="007B7B37"/>
    <w:rsid w:val="007C00CB"/>
    <w:rsid w:val="007C01EE"/>
    <w:rsid w:val="007C0437"/>
    <w:rsid w:val="007C0DE0"/>
    <w:rsid w:val="007C1AE6"/>
    <w:rsid w:val="007C1E3E"/>
    <w:rsid w:val="007C1FD1"/>
    <w:rsid w:val="007C301A"/>
    <w:rsid w:val="007C3C39"/>
    <w:rsid w:val="007C3FC4"/>
    <w:rsid w:val="007C4596"/>
    <w:rsid w:val="007C4991"/>
    <w:rsid w:val="007C4C31"/>
    <w:rsid w:val="007C4E2E"/>
    <w:rsid w:val="007C690D"/>
    <w:rsid w:val="007C7370"/>
    <w:rsid w:val="007C7EEB"/>
    <w:rsid w:val="007D0B01"/>
    <w:rsid w:val="007D0EC5"/>
    <w:rsid w:val="007D20F6"/>
    <w:rsid w:val="007D2218"/>
    <w:rsid w:val="007D25D8"/>
    <w:rsid w:val="007D2644"/>
    <w:rsid w:val="007D27CE"/>
    <w:rsid w:val="007D385C"/>
    <w:rsid w:val="007D4301"/>
    <w:rsid w:val="007D4476"/>
    <w:rsid w:val="007D509B"/>
    <w:rsid w:val="007D56EA"/>
    <w:rsid w:val="007D588C"/>
    <w:rsid w:val="007D635B"/>
    <w:rsid w:val="007D6538"/>
    <w:rsid w:val="007D65A6"/>
    <w:rsid w:val="007D6EAF"/>
    <w:rsid w:val="007D79AD"/>
    <w:rsid w:val="007E1A5A"/>
    <w:rsid w:val="007E1F87"/>
    <w:rsid w:val="007E2AB0"/>
    <w:rsid w:val="007E2C83"/>
    <w:rsid w:val="007E2E97"/>
    <w:rsid w:val="007E3093"/>
    <w:rsid w:val="007E3BCC"/>
    <w:rsid w:val="007E3FC5"/>
    <w:rsid w:val="007E5912"/>
    <w:rsid w:val="007E5F8B"/>
    <w:rsid w:val="007E6E1C"/>
    <w:rsid w:val="007E7245"/>
    <w:rsid w:val="007E749F"/>
    <w:rsid w:val="007E7E2D"/>
    <w:rsid w:val="007F0158"/>
    <w:rsid w:val="007F1C68"/>
    <w:rsid w:val="007F2675"/>
    <w:rsid w:val="007F365A"/>
    <w:rsid w:val="007F3CCE"/>
    <w:rsid w:val="007F44DC"/>
    <w:rsid w:val="007F4C49"/>
    <w:rsid w:val="007F5464"/>
    <w:rsid w:val="007F5D92"/>
    <w:rsid w:val="007F5E4A"/>
    <w:rsid w:val="007F668B"/>
    <w:rsid w:val="007F6B39"/>
    <w:rsid w:val="007F73CB"/>
    <w:rsid w:val="007F75F1"/>
    <w:rsid w:val="007F7900"/>
    <w:rsid w:val="007F7985"/>
    <w:rsid w:val="00800250"/>
    <w:rsid w:val="008009C4"/>
    <w:rsid w:val="00801B82"/>
    <w:rsid w:val="008022E4"/>
    <w:rsid w:val="0080437F"/>
    <w:rsid w:val="008054E2"/>
    <w:rsid w:val="008078C0"/>
    <w:rsid w:val="00807D8C"/>
    <w:rsid w:val="008100C1"/>
    <w:rsid w:val="008102CB"/>
    <w:rsid w:val="00810D84"/>
    <w:rsid w:val="00811DD4"/>
    <w:rsid w:val="00812F33"/>
    <w:rsid w:val="008131F3"/>
    <w:rsid w:val="00813BC7"/>
    <w:rsid w:val="0081410C"/>
    <w:rsid w:val="00814AE7"/>
    <w:rsid w:val="00815B93"/>
    <w:rsid w:val="00815D0A"/>
    <w:rsid w:val="00816501"/>
    <w:rsid w:val="008178E1"/>
    <w:rsid w:val="00817E10"/>
    <w:rsid w:val="008207CA"/>
    <w:rsid w:val="008208E3"/>
    <w:rsid w:val="00820DC2"/>
    <w:rsid w:val="008219B1"/>
    <w:rsid w:val="008219F1"/>
    <w:rsid w:val="00822968"/>
    <w:rsid w:val="00824536"/>
    <w:rsid w:val="00825508"/>
    <w:rsid w:val="00826195"/>
    <w:rsid w:val="00826CAE"/>
    <w:rsid w:val="00826CF6"/>
    <w:rsid w:val="008270D0"/>
    <w:rsid w:val="008272ED"/>
    <w:rsid w:val="0082783C"/>
    <w:rsid w:val="00827D23"/>
    <w:rsid w:val="00830786"/>
    <w:rsid w:val="00830B2A"/>
    <w:rsid w:val="00830BFB"/>
    <w:rsid w:val="00830FF6"/>
    <w:rsid w:val="00831D92"/>
    <w:rsid w:val="00831DE1"/>
    <w:rsid w:val="008336A0"/>
    <w:rsid w:val="00833799"/>
    <w:rsid w:val="0083426E"/>
    <w:rsid w:val="00834EE2"/>
    <w:rsid w:val="00835998"/>
    <w:rsid w:val="00835FE2"/>
    <w:rsid w:val="00835FFD"/>
    <w:rsid w:val="0083645F"/>
    <w:rsid w:val="008364B5"/>
    <w:rsid w:val="0083675A"/>
    <w:rsid w:val="0083678A"/>
    <w:rsid w:val="00836B7B"/>
    <w:rsid w:val="00837D34"/>
    <w:rsid w:val="00840019"/>
    <w:rsid w:val="00840055"/>
    <w:rsid w:val="008401AF"/>
    <w:rsid w:val="00840374"/>
    <w:rsid w:val="00840A30"/>
    <w:rsid w:val="00840EEB"/>
    <w:rsid w:val="0084106E"/>
    <w:rsid w:val="008410C1"/>
    <w:rsid w:val="00841195"/>
    <w:rsid w:val="008422CB"/>
    <w:rsid w:val="00842F4C"/>
    <w:rsid w:val="0084319A"/>
    <w:rsid w:val="00844B93"/>
    <w:rsid w:val="0084528E"/>
    <w:rsid w:val="008452B1"/>
    <w:rsid w:val="008459D5"/>
    <w:rsid w:val="00845A82"/>
    <w:rsid w:val="00845C8D"/>
    <w:rsid w:val="00846B8B"/>
    <w:rsid w:val="0084768C"/>
    <w:rsid w:val="0084799B"/>
    <w:rsid w:val="00847C44"/>
    <w:rsid w:val="00851015"/>
    <w:rsid w:val="008519BC"/>
    <w:rsid w:val="00851AC8"/>
    <w:rsid w:val="00851BDB"/>
    <w:rsid w:val="008521AF"/>
    <w:rsid w:val="0085256F"/>
    <w:rsid w:val="00852E84"/>
    <w:rsid w:val="00852FED"/>
    <w:rsid w:val="008535D5"/>
    <w:rsid w:val="00853829"/>
    <w:rsid w:val="00853E52"/>
    <w:rsid w:val="00854A7B"/>
    <w:rsid w:val="00855945"/>
    <w:rsid w:val="0085614E"/>
    <w:rsid w:val="008564F4"/>
    <w:rsid w:val="008569D8"/>
    <w:rsid w:val="00856D9A"/>
    <w:rsid w:val="00857112"/>
    <w:rsid w:val="00857510"/>
    <w:rsid w:val="008602F9"/>
    <w:rsid w:val="00860AD2"/>
    <w:rsid w:val="00860B63"/>
    <w:rsid w:val="0086158F"/>
    <w:rsid w:val="008625A7"/>
    <w:rsid w:val="00862A2F"/>
    <w:rsid w:val="00863162"/>
    <w:rsid w:val="008633CB"/>
    <w:rsid w:val="008633F6"/>
    <w:rsid w:val="00864431"/>
    <w:rsid w:val="0086463B"/>
    <w:rsid w:val="00864D65"/>
    <w:rsid w:val="00864ECF"/>
    <w:rsid w:val="008652DC"/>
    <w:rsid w:val="00865911"/>
    <w:rsid w:val="0086594E"/>
    <w:rsid w:val="008659F1"/>
    <w:rsid w:val="00866E65"/>
    <w:rsid w:val="0086723B"/>
    <w:rsid w:val="008722CB"/>
    <w:rsid w:val="008724EA"/>
    <w:rsid w:val="00872711"/>
    <w:rsid w:val="00873653"/>
    <w:rsid w:val="0087471B"/>
    <w:rsid w:val="00875921"/>
    <w:rsid w:val="00876554"/>
    <w:rsid w:val="00876C7C"/>
    <w:rsid w:val="00876F61"/>
    <w:rsid w:val="00877430"/>
    <w:rsid w:val="0088058B"/>
    <w:rsid w:val="00880B58"/>
    <w:rsid w:val="00881709"/>
    <w:rsid w:val="00881A95"/>
    <w:rsid w:val="00881DFC"/>
    <w:rsid w:val="0088255F"/>
    <w:rsid w:val="00883314"/>
    <w:rsid w:val="008836BD"/>
    <w:rsid w:val="00883838"/>
    <w:rsid w:val="00885209"/>
    <w:rsid w:val="00887144"/>
    <w:rsid w:val="0088718D"/>
    <w:rsid w:val="00887A53"/>
    <w:rsid w:val="00887D38"/>
    <w:rsid w:val="00890122"/>
    <w:rsid w:val="008905D0"/>
    <w:rsid w:val="0089079C"/>
    <w:rsid w:val="0089082F"/>
    <w:rsid w:val="00891613"/>
    <w:rsid w:val="0089202E"/>
    <w:rsid w:val="008920C6"/>
    <w:rsid w:val="00892967"/>
    <w:rsid w:val="008937EB"/>
    <w:rsid w:val="00893D3D"/>
    <w:rsid w:val="00895299"/>
    <w:rsid w:val="008952F6"/>
    <w:rsid w:val="008956B4"/>
    <w:rsid w:val="00896000"/>
    <w:rsid w:val="0089670E"/>
    <w:rsid w:val="008968BC"/>
    <w:rsid w:val="008977AD"/>
    <w:rsid w:val="008979D0"/>
    <w:rsid w:val="008A028F"/>
    <w:rsid w:val="008A06CB"/>
    <w:rsid w:val="008A125A"/>
    <w:rsid w:val="008A1506"/>
    <w:rsid w:val="008A18D4"/>
    <w:rsid w:val="008A203C"/>
    <w:rsid w:val="008A203E"/>
    <w:rsid w:val="008A3D8E"/>
    <w:rsid w:val="008A4331"/>
    <w:rsid w:val="008A45AC"/>
    <w:rsid w:val="008A469D"/>
    <w:rsid w:val="008A546F"/>
    <w:rsid w:val="008A56C2"/>
    <w:rsid w:val="008A5CD5"/>
    <w:rsid w:val="008A603B"/>
    <w:rsid w:val="008A61F0"/>
    <w:rsid w:val="008A675A"/>
    <w:rsid w:val="008A6EB7"/>
    <w:rsid w:val="008A6F0C"/>
    <w:rsid w:val="008B0E4C"/>
    <w:rsid w:val="008B1705"/>
    <w:rsid w:val="008B1B1F"/>
    <w:rsid w:val="008B28FB"/>
    <w:rsid w:val="008B2B73"/>
    <w:rsid w:val="008B360D"/>
    <w:rsid w:val="008B377E"/>
    <w:rsid w:val="008B383B"/>
    <w:rsid w:val="008B4234"/>
    <w:rsid w:val="008B48C9"/>
    <w:rsid w:val="008B4C59"/>
    <w:rsid w:val="008B4E0E"/>
    <w:rsid w:val="008B5FCB"/>
    <w:rsid w:val="008B69BE"/>
    <w:rsid w:val="008B6DC7"/>
    <w:rsid w:val="008B7090"/>
    <w:rsid w:val="008B76C9"/>
    <w:rsid w:val="008B7CCC"/>
    <w:rsid w:val="008C0C99"/>
    <w:rsid w:val="008C1CF1"/>
    <w:rsid w:val="008C1D6D"/>
    <w:rsid w:val="008C21F4"/>
    <w:rsid w:val="008C286C"/>
    <w:rsid w:val="008C2CFE"/>
    <w:rsid w:val="008C2DDC"/>
    <w:rsid w:val="008C300A"/>
    <w:rsid w:val="008C3363"/>
    <w:rsid w:val="008C4C80"/>
    <w:rsid w:val="008C61D1"/>
    <w:rsid w:val="008C64D6"/>
    <w:rsid w:val="008C6789"/>
    <w:rsid w:val="008C6AF5"/>
    <w:rsid w:val="008C6EB7"/>
    <w:rsid w:val="008C7141"/>
    <w:rsid w:val="008C73DD"/>
    <w:rsid w:val="008D036B"/>
    <w:rsid w:val="008D1F54"/>
    <w:rsid w:val="008D2475"/>
    <w:rsid w:val="008D25DA"/>
    <w:rsid w:val="008D329D"/>
    <w:rsid w:val="008D3DA0"/>
    <w:rsid w:val="008D3EB7"/>
    <w:rsid w:val="008D4567"/>
    <w:rsid w:val="008D4E60"/>
    <w:rsid w:val="008D5A51"/>
    <w:rsid w:val="008D6321"/>
    <w:rsid w:val="008D641D"/>
    <w:rsid w:val="008D6D5E"/>
    <w:rsid w:val="008D742B"/>
    <w:rsid w:val="008D7E5A"/>
    <w:rsid w:val="008D7F14"/>
    <w:rsid w:val="008E153B"/>
    <w:rsid w:val="008E28EA"/>
    <w:rsid w:val="008E3479"/>
    <w:rsid w:val="008E3513"/>
    <w:rsid w:val="008E4E00"/>
    <w:rsid w:val="008E588A"/>
    <w:rsid w:val="008E59E8"/>
    <w:rsid w:val="008E752A"/>
    <w:rsid w:val="008E78A7"/>
    <w:rsid w:val="008E7903"/>
    <w:rsid w:val="008F1202"/>
    <w:rsid w:val="008F1582"/>
    <w:rsid w:val="008F1958"/>
    <w:rsid w:val="008F222B"/>
    <w:rsid w:val="008F2243"/>
    <w:rsid w:val="008F245B"/>
    <w:rsid w:val="008F3380"/>
    <w:rsid w:val="008F53D3"/>
    <w:rsid w:val="008F740F"/>
    <w:rsid w:val="008F7B86"/>
    <w:rsid w:val="008F7D70"/>
    <w:rsid w:val="008F7F90"/>
    <w:rsid w:val="00900125"/>
    <w:rsid w:val="00901AC0"/>
    <w:rsid w:val="00901DC6"/>
    <w:rsid w:val="00901EF2"/>
    <w:rsid w:val="009026E5"/>
    <w:rsid w:val="00903241"/>
    <w:rsid w:val="00903C04"/>
    <w:rsid w:val="009052CF"/>
    <w:rsid w:val="009073E9"/>
    <w:rsid w:val="0091022E"/>
    <w:rsid w:val="00910DFA"/>
    <w:rsid w:val="00911322"/>
    <w:rsid w:val="00911D22"/>
    <w:rsid w:val="009121A4"/>
    <w:rsid w:val="0091241B"/>
    <w:rsid w:val="00912992"/>
    <w:rsid w:val="009129F8"/>
    <w:rsid w:val="00912F03"/>
    <w:rsid w:val="00912FA7"/>
    <w:rsid w:val="009130C7"/>
    <w:rsid w:val="00913213"/>
    <w:rsid w:val="0091386F"/>
    <w:rsid w:val="00915263"/>
    <w:rsid w:val="0091567B"/>
    <w:rsid w:val="0091573C"/>
    <w:rsid w:val="00915E8F"/>
    <w:rsid w:val="00916AA1"/>
    <w:rsid w:val="00916DA3"/>
    <w:rsid w:val="009175DE"/>
    <w:rsid w:val="00917C93"/>
    <w:rsid w:val="00917D67"/>
    <w:rsid w:val="00920234"/>
    <w:rsid w:val="00920D65"/>
    <w:rsid w:val="0092159A"/>
    <w:rsid w:val="009215FF"/>
    <w:rsid w:val="00921D5A"/>
    <w:rsid w:val="009224C7"/>
    <w:rsid w:val="009226CE"/>
    <w:rsid w:val="00922749"/>
    <w:rsid w:val="00922BC0"/>
    <w:rsid w:val="00923049"/>
    <w:rsid w:val="0092396F"/>
    <w:rsid w:val="00924E92"/>
    <w:rsid w:val="00925096"/>
    <w:rsid w:val="009253A2"/>
    <w:rsid w:val="009256A8"/>
    <w:rsid w:val="009263DD"/>
    <w:rsid w:val="00926610"/>
    <w:rsid w:val="00926DD1"/>
    <w:rsid w:val="00927460"/>
    <w:rsid w:val="009275A5"/>
    <w:rsid w:val="00927A8A"/>
    <w:rsid w:val="00927C0C"/>
    <w:rsid w:val="00930025"/>
    <w:rsid w:val="00930B10"/>
    <w:rsid w:val="00930DAB"/>
    <w:rsid w:val="00931F61"/>
    <w:rsid w:val="009324F7"/>
    <w:rsid w:val="00933261"/>
    <w:rsid w:val="00934682"/>
    <w:rsid w:val="009354BE"/>
    <w:rsid w:val="00936D6C"/>
    <w:rsid w:val="00937DE8"/>
    <w:rsid w:val="00943546"/>
    <w:rsid w:val="00943A82"/>
    <w:rsid w:val="009443F4"/>
    <w:rsid w:val="009446CE"/>
    <w:rsid w:val="009453FC"/>
    <w:rsid w:val="0094630E"/>
    <w:rsid w:val="009465A4"/>
    <w:rsid w:val="00946879"/>
    <w:rsid w:val="0094721B"/>
    <w:rsid w:val="009472BE"/>
    <w:rsid w:val="00950080"/>
    <w:rsid w:val="00950CC8"/>
    <w:rsid w:val="0095101D"/>
    <w:rsid w:val="0095101E"/>
    <w:rsid w:val="009510FB"/>
    <w:rsid w:val="0095171F"/>
    <w:rsid w:val="00952128"/>
    <w:rsid w:val="00952447"/>
    <w:rsid w:val="00954C62"/>
    <w:rsid w:val="00954EAE"/>
    <w:rsid w:val="009565A2"/>
    <w:rsid w:val="009602B7"/>
    <w:rsid w:val="009615E2"/>
    <w:rsid w:val="00961683"/>
    <w:rsid w:val="0096236A"/>
    <w:rsid w:val="00962737"/>
    <w:rsid w:val="0096273D"/>
    <w:rsid w:val="0096296B"/>
    <w:rsid w:val="00962DC0"/>
    <w:rsid w:val="009637F3"/>
    <w:rsid w:val="00963B60"/>
    <w:rsid w:val="00964C14"/>
    <w:rsid w:val="00965402"/>
    <w:rsid w:val="00965AA0"/>
    <w:rsid w:val="00965C17"/>
    <w:rsid w:val="00965DA4"/>
    <w:rsid w:val="00965FAB"/>
    <w:rsid w:val="009660D6"/>
    <w:rsid w:val="0096646E"/>
    <w:rsid w:val="00966B74"/>
    <w:rsid w:val="009706A0"/>
    <w:rsid w:val="00970A5B"/>
    <w:rsid w:val="00970B0B"/>
    <w:rsid w:val="00970B19"/>
    <w:rsid w:val="00970C6B"/>
    <w:rsid w:val="009713A5"/>
    <w:rsid w:val="00971943"/>
    <w:rsid w:val="00972575"/>
    <w:rsid w:val="00973FDD"/>
    <w:rsid w:val="00974208"/>
    <w:rsid w:val="009759CC"/>
    <w:rsid w:val="009778FF"/>
    <w:rsid w:val="00977F6A"/>
    <w:rsid w:val="00980067"/>
    <w:rsid w:val="00980668"/>
    <w:rsid w:val="0098072E"/>
    <w:rsid w:val="00980D95"/>
    <w:rsid w:val="00980F4A"/>
    <w:rsid w:val="009810BF"/>
    <w:rsid w:val="00981D9F"/>
    <w:rsid w:val="009827E0"/>
    <w:rsid w:val="009834B5"/>
    <w:rsid w:val="009851F3"/>
    <w:rsid w:val="00985B3A"/>
    <w:rsid w:val="00986F9D"/>
    <w:rsid w:val="00987981"/>
    <w:rsid w:val="00987BBD"/>
    <w:rsid w:val="0099003F"/>
    <w:rsid w:val="009901F5"/>
    <w:rsid w:val="009906DE"/>
    <w:rsid w:val="00990725"/>
    <w:rsid w:val="00991712"/>
    <w:rsid w:val="0099234C"/>
    <w:rsid w:val="0099268C"/>
    <w:rsid w:val="00992814"/>
    <w:rsid w:val="009938ED"/>
    <w:rsid w:val="009948E9"/>
    <w:rsid w:val="00994A04"/>
    <w:rsid w:val="00994CC7"/>
    <w:rsid w:val="00994E54"/>
    <w:rsid w:val="00994F45"/>
    <w:rsid w:val="00995498"/>
    <w:rsid w:val="00995D37"/>
    <w:rsid w:val="009967BC"/>
    <w:rsid w:val="00996EC4"/>
    <w:rsid w:val="00997851"/>
    <w:rsid w:val="0099796D"/>
    <w:rsid w:val="009A2F71"/>
    <w:rsid w:val="009A36CB"/>
    <w:rsid w:val="009A3C4D"/>
    <w:rsid w:val="009A3F0B"/>
    <w:rsid w:val="009A3FED"/>
    <w:rsid w:val="009A4DE1"/>
    <w:rsid w:val="009A5347"/>
    <w:rsid w:val="009A6643"/>
    <w:rsid w:val="009A6792"/>
    <w:rsid w:val="009A6B57"/>
    <w:rsid w:val="009A6DE6"/>
    <w:rsid w:val="009A7CED"/>
    <w:rsid w:val="009B030C"/>
    <w:rsid w:val="009B043D"/>
    <w:rsid w:val="009B1A10"/>
    <w:rsid w:val="009B30F0"/>
    <w:rsid w:val="009B3F9B"/>
    <w:rsid w:val="009B471B"/>
    <w:rsid w:val="009B4D78"/>
    <w:rsid w:val="009B5185"/>
    <w:rsid w:val="009B5B54"/>
    <w:rsid w:val="009B7217"/>
    <w:rsid w:val="009B78D5"/>
    <w:rsid w:val="009B7A3D"/>
    <w:rsid w:val="009B7D25"/>
    <w:rsid w:val="009B7F62"/>
    <w:rsid w:val="009C016B"/>
    <w:rsid w:val="009C04FC"/>
    <w:rsid w:val="009C0546"/>
    <w:rsid w:val="009C1D1E"/>
    <w:rsid w:val="009C48B3"/>
    <w:rsid w:val="009C5238"/>
    <w:rsid w:val="009C5AB2"/>
    <w:rsid w:val="009C74B6"/>
    <w:rsid w:val="009C7544"/>
    <w:rsid w:val="009C7C55"/>
    <w:rsid w:val="009D096C"/>
    <w:rsid w:val="009D0A64"/>
    <w:rsid w:val="009D1A35"/>
    <w:rsid w:val="009D1A77"/>
    <w:rsid w:val="009D2C8F"/>
    <w:rsid w:val="009D2E52"/>
    <w:rsid w:val="009D2E85"/>
    <w:rsid w:val="009D319B"/>
    <w:rsid w:val="009D3304"/>
    <w:rsid w:val="009D3DAC"/>
    <w:rsid w:val="009D4272"/>
    <w:rsid w:val="009D443E"/>
    <w:rsid w:val="009D59C0"/>
    <w:rsid w:val="009D6103"/>
    <w:rsid w:val="009D633F"/>
    <w:rsid w:val="009D63A4"/>
    <w:rsid w:val="009D6C83"/>
    <w:rsid w:val="009D6FD4"/>
    <w:rsid w:val="009D7F0B"/>
    <w:rsid w:val="009E0C94"/>
    <w:rsid w:val="009E0E32"/>
    <w:rsid w:val="009E121D"/>
    <w:rsid w:val="009E1222"/>
    <w:rsid w:val="009E12CF"/>
    <w:rsid w:val="009E1A32"/>
    <w:rsid w:val="009E1ED1"/>
    <w:rsid w:val="009E229A"/>
    <w:rsid w:val="009E2587"/>
    <w:rsid w:val="009E3FE4"/>
    <w:rsid w:val="009E628F"/>
    <w:rsid w:val="009E63F5"/>
    <w:rsid w:val="009E6899"/>
    <w:rsid w:val="009E6CFB"/>
    <w:rsid w:val="009E6D4C"/>
    <w:rsid w:val="009E77D4"/>
    <w:rsid w:val="009E7DAB"/>
    <w:rsid w:val="009F0599"/>
    <w:rsid w:val="009F0B26"/>
    <w:rsid w:val="009F3441"/>
    <w:rsid w:val="009F3681"/>
    <w:rsid w:val="009F3D7E"/>
    <w:rsid w:val="009F4ACA"/>
    <w:rsid w:val="009F5330"/>
    <w:rsid w:val="009F53BA"/>
    <w:rsid w:val="009F5CC0"/>
    <w:rsid w:val="009F5CD1"/>
    <w:rsid w:val="009F63C0"/>
    <w:rsid w:val="009F73E3"/>
    <w:rsid w:val="009F79F9"/>
    <w:rsid w:val="00A010CA"/>
    <w:rsid w:val="00A01129"/>
    <w:rsid w:val="00A01C30"/>
    <w:rsid w:val="00A01F99"/>
    <w:rsid w:val="00A027A5"/>
    <w:rsid w:val="00A029D6"/>
    <w:rsid w:val="00A02D5E"/>
    <w:rsid w:val="00A034F0"/>
    <w:rsid w:val="00A03C55"/>
    <w:rsid w:val="00A03EDE"/>
    <w:rsid w:val="00A0409E"/>
    <w:rsid w:val="00A0498A"/>
    <w:rsid w:val="00A04C4B"/>
    <w:rsid w:val="00A04D23"/>
    <w:rsid w:val="00A05223"/>
    <w:rsid w:val="00A052D7"/>
    <w:rsid w:val="00A068DB"/>
    <w:rsid w:val="00A076AE"/>
    <w:rsid w:val="00A1011E"/>
    <w:rsid w:val="00A117FE"/>
    <w:rsid w:val="00A11D7C"/>
    <w:rsid w:val="00A1214C"/>
    <w:rsid w:val="00A12730"/>
    <w:rsid w:val="00A12E90"/>
    <w:rsid w:val="00A131CE"/>
    <w:rsid w:val="00A14B5F"/>
    <w:rsid w:val="00A1676E"/>
    <w:rsid w:val="00A1692B"/>
    <w:rsid w:val="00A16A97"/>
    <w:rsid w:val="00A17D13"/>
    <w:rsid w:val="00A2108C"/>
    <w:rsid w:val="00A22500"/>
    <w:rsid w:val="00A225F2"/>
    <w:rsid w:val="00A22C5F"/>
    <w:rsid w:val="00A23006"/>
    <w:rsid w:val="00A230CD"/>
    <w:rsid w:val="00A2415A"/>
    <w:rsid w:val="00A24444"/>
    <w:rsid w:val="00A2458A"/>
    <w:rsid w:val="00A24D46"/>
    <w:rsid w:val="00A264BA"/>
    <w:rsid w:val="00A26980"/>
    <w:rsid w:val="00A26FC2"/>
    <w:rsid w:val="00A27EB0"/>
    <w:rsid w:val="00A314BE"/>
    <w:rsid w:val="00A316EB"/>
    <w:rsid w:val="00A31794"/>
    <w:rsid w:val="00A324C5"/>
    <w:rsid w:val="00A33156"/>
    <w:rsid w:val="00A340CA"/>
    <w:rsid w:val="00A343E0"/>
    <w:rsid w:val="00A34D2C"/>
    <w:rsid w:val="00A352EB"/>
    <w:rsid w:val="00A3660D"/>
    <w:rsid w:val="00A374D1"/>
    <w:rsid w:val="00A37FA1"/>
    <w:rsid w:val="00A400D4"/>
    <w:rsid w:val="00A40B0F"/>
    <w:rsid w:val="00A4179D"/>
    <w:rsid w:val="00A417A7"/>
    <w:rsid w:val="00A418B1"/>
    <w:rsid w:val="00A418F0"/>
    <w:rsid w:val="00A41934"/>
    <w:rsid w:val="00A41968"/>
    <w:rsid w:val="00A422F2"/>
    <w:rsid w:val="00A429E4"/>
    <w:rsid w:val="00A43984"/>
    <w:rsid w:val="00A43D1E"/>
    <w:rsid w:val="00A44561"/>
    <w:rsid w:val="00A4573F"/>
    <w:rsid w:val="00A45A06"/>
    <w:rsid w:val="00A45D3E"/>
    <w:rsid w:val="00A462F0"/>
    <w:rsid w:val="00A47D39"/>
    <w:rsid w:val="00A47E28"/>
    <w:rsid w:val="00A50625"/>
    <w:rsid w:val="00A50646"/>
    <w:rsid w:val="00A50666"/>
    <w:rsid w:val="00A50ECC"/>
    <w:rsid w:val="00A512B8"/>
    <w:rsid w:val="00A51806"/>
    <w:rsid w:val="00A51AA6"/>
    <w:rsid w:val="00A52084"/>
    <w:rsid w:val="00A524AB"/>
    <w:rsid w:val="00A52618"/>
    <w:rsid w:val="00A5409A"/>
    <w:rsid w:val="00A54797"/>
    <w:rsid w:val="00A54EF1"/>
    <w:rsid w:val="00A54F88"/>
    <w:rsid w:val="00A55D2B"/>
    <w:rsid w:val="00A55D4B"/>
    <w:rsid w:val="00A5728D"/>
    <w:rsid w:val="00A57519"/>
    <w:rsid w:val="00A57630"/>
    <w:rsid w:val="00A60A02"/>
    <w:rsid w:val="00A61A94"/>
    <w:rsid w:val="00A62076"/>
    <w:rsid w:val="00A629CF"/>
    <w:rsid w:val="00A63701"/>
    <w:rsid w:val="00A63815"/>
    <w:rsid w:val="00A63DE4"/>
    <w:rsid w:val="00A64FD7"/>
    <w:rsid w:val="00A6502F"/>
    <w:rsid w:val="00A650C0"/>
    <w:rsid w:val="00A66D51"/>
    <w:rsid w:val="00A67D77"/>
    <w:rsid w:val="00A70344"/>
    <w:rsid w:val="00A707D4"/>
    <w:rsid w:val="00A7124E"/>
    <w:rsid w:val="00A7229D"/>
    <w:rsid w:val="00A73F5B"/>
    <w:rsid w:val="00A75208"/>
    <w:rsid w:val="00A7522D"/>
    <w:rsid w:val="00A76AC0"/>
    <w:rsid w:val="00A76B77"/>
    <w:rsid w:val="00A80760"/>
    <w:rsid w:val="00A813C6"/>
    <w:rsid w:val="00A81AE5"/>
    <w:rsid w:val="00A82510"/>
    <w:rsid w:val="00A82934"/>
    <w:rsid w:val="00A83756"/>
    <w:rsid w:val="00A83B22"/>
    <w:rsid w:val="00A843E8"/>
    <w:rsid w:val="00A84853"/>
    <w:rsid w:val="00A85379"/>
    <w:rsid w:val="00A857A5"/>
    <w:rsid w:val="00A86D74"/>
    <w:rsid w:val="00A8761C"/>
    <w:rsid w:val="00A90312"/>
    <w:rsid w:val="00A934E1"/>
    <w:rsid w:val="00A93E4E"/>
    <w:rsid w:val="00A95146"/>
    <w:rsid w:val="00A95277"/>
    <w:rsid w:val="00A9599A"/>
    <w:rsid w:val="00A95EF0"/>
    <w:rsid w:val="00A96161"/>
    <w:rsid w:val="00A9652D"/>
    <w:rsid w:val="00A96BA9"/>
    <w:rsid w:val="00AA052D"/>
    <w:rsid w:val="00AA119A"/>
    <w:rsid w:val="00AA11DD"/>
    <w:rsid w:val="00AA1295"/>
    <w:rsid w:val="00AA1463"/>
    <w:rsid w:val="00AA1DA8"/>
    <w:rsid w:val="00AA1E11"/>
    <w:rsid w:val="00AA1F02"/>
    <w:rsid w:val="00AA2351"/>
    <w:rsid w:val="00AA2663"/>
    <w:rsid w:val="00AA2F88"/>
    <w:rsid w:val="00AA46EA"/>
    <w:rsid w:val="00AA576D"/>
    <w:rsid w:val="00AA5A19"/>
    <w:rsid w:val="00AA64C0"/>
    <w:rsid w:val="00AA757F"/>
    <w:rsid w:val="00AA78A6"/>
    <w:rsid w:val="00AB09E9"/>
    <w:rsid w:val="00AB0DE2"/>
    <w:rsid w:val="00AB0F0C"/>
    <w:rsid w:val="00AB0F9E"/>
    <w:rsid w:val="00AB1B7B"/>
    <w:rsid w:val="00AB1C24"/>
    <w:rsid w:val="00AB1D9A"/>
    <w:rsid w:val="00AB2941"/>
    <w:rsid w:val="00AB30DC"/>
    <w:rsid w:val="00AB32AB"/>
    <w:rsid w:val="00AB4156"/>
    <w:rsid w:val="00AB4247"/>
    <w:rsid w:val="00AB4579"/>
    <w:rsid w:val="00AB51F2"/>
    <w:rsid w:val="00AB5278"/>
    <w:rsid w:val="00AB5282"/>
    <w:rsid w:val="00AB5C0B"/>
    <w:rsid w:val="00AB6360"/>
    <w:rsid w:val="00AB757A"/>
    <w:rsid w:val="00AB77AA"/>
    <w:rsid w:val="00AB79C0"/>
    <w:rsid w:val="00AB7FB0"/>
    <w:rsid w:val="00AC1E3B"/>
    <w:rsid w:val="00AC2B0D"/>
    <w:rsid w:val="00AC2CCB"/>
    <w:rsid w:val="00AC39E1"/>
    <w:rsid w:val="00AC3BC7"/>
    <w:rsid w:val="00AC40D4"/>
    <w:rsid w:val="00AC4A71"/>
    <w:rsid w:val="00AC5581"/>
    <w:rsid w:val="00AC5A71"/>
    <w:rsid w:val="00AC5AD0"/>
    <w:rsid w:val="00AC5D91"/>
    <w:rsid w:val="00AC62E9"/>
    <w:rsid w:val="00AC6A94"/>
    <w:rsid w:val="00AC6DCA"/>
    <w:rsid w:val="00AC6ECD"/>
    <w:rsid w:val="00AC7029"/>
    <w:rsid w:val="00AC71B9"/>
    <w:rsid w:val="00AC750E"/>
    <w:rsid w:val="00AC7B99"/>
    <w:rsid w:val="00AD1506"/>
    <w:rsid w:val="00AD1698"/>
    <w:rsid w:val="00AD1C94"/>
    <w:rsid w:val="00AD203C"/>
    <w:rsid w:val="00AD20AB"/>
    <w:rsid w:val="00AD219D"/>
    <w:rsid w:val="00AD22D2"/>
    <w:rsid w:val="00AD2E50"/>
    <w:rsid w:val="00AD2E64"/>
    <w:rsid w:val="00AD3835"/>
    <w:rsid w:val="00AD49A2"/>
    <w:rsid w:val="00AD562D"/>
    <w:rsid w:val="00AD56F3"/>
    <w:rsid w:val="00AD5F26"/>
    <w:rsid w:val="00AD6A83"/>
    <w:rsid w:val="00AD6AA2"/>
    <w:rsid w:val="00AD7969"/>
    <w:rsid w:val="00AE09B6"/>
    <w:rsid w:val="00AE0B2C"/>
    <w:rsid w:val="00AE0DB8"/>
    <w:rsid w:val="00AE0F92"/>
    <w:rsid w:val="00AE0FEE"/>
    <w:rsid w:val="00AE12DC"/>
    <w:rsid w:val="00AE1AA5"/>
    <w:rsid w:val="00AE1CA4"/>
    <w:rsid w:val="00AE25ED"/>
    <w:rsid w:val="00AE2867"/>
    <w:rsid w:val="00AE299B"/>
    <w:rsid w:val="00AE2EEF"/>
    <w:rsid w:val="00AE3300"/>
    <w:rsid w:val="00AE3871"/>
    <w:rsid w:val="00AE3B53"/>
    <w:rsid w:val="00AE3EFC"/>
    <w:rsid w:val="00AE48E3"/>
    <w:rsid w:val="00AE625D"/>
    <w:rsid w:val="00AE6A2A"/>
    <w:rsid w:val="00AE6DFB"/>
    <w:rsid w:val="00AE7021"/>
    <w:rsid w:val="00AE70CF"/>
    <w:rsid w:val="00AE7A65"/>
    <w:rsid w:val="00AE7AFF"/>
    <w:rsid w:val="00AE7CB9"/>
    <w:rsid w:val="00AE7CD8"/>
    <w:rsid w:val="00AE7D20"/>
    <w:rsid w:val="00AF0095"/>
    <w:rsid w:val="00AF04BD"/>
    <w:rsid w:val="00AF1097"/>
    <w:rsid w:val="00AF1732"/>
    <w:rsid w:val="00AF1806"/>
    <w:rsid w:val="00AF1B4D"/>
    <w:rsid w:val="00AF30A3"/>
    <w:rsid w:val="00AF50DE"/>
    <w:rsid w:val="00AF5AB3"/>
    <w:rsid w:val="00AF6AE4"/>
    <w:rsid w:val="00AF6B34"/>
    <w:rsid w:val="00AF6FF0"/>
    <w:rsid w:val="00AF709D"/>
    <w:rsid w:val="00B011DA"/>
    <w:rsid w:val="00B01543"/>
    <w:rsid w:val="00B0185E"/>
    <w:rsid w:val="00B0288E"/>
    <w:rsid w:val="00B03E98"/>
    <w:rsid w:val="00B041E1"/>
    <w:rsid w:val="00B04215"/>
    <w:rsid w:val="00B0559B"/>
    <w:rsid w:val="00B0564B"/>
    <w:rsid w:val="00B056B7"/>
    <w:rsid w:val="00B06432"/>
    <w:rsid w:val="00B06A3E"/>
    <w:rsid w:val="00B074EE"/>
    <w:rsid w:val="00B076FE"/>
    <w:rsid w:val="00B10204"/>
    <w:rsid w:val="00B11D57"/>
    <w:rsid w:val="00B12D34"/>
    <w:rsid w:val="00B12E4B"/>
    <w:rsid w:val="00B12EF9"/>
    <w:rsid w:val="00B12FF2"/>
    <w:rsid w:val="00B133B5"/>
    <w:rsid w:val="00B13449"/>
    <w:rsid w:val="00B13503"/>
    <w:rsid w:val="00B14958"/>
    <w:rsid w:val="00B14E90"/>
    <w:rsid w:val="00B15C28"/>
    <w:rsid w:val="00B15D00"/>
    <w:rsid w:val="00B15EA8"/>
    <w:rsid w:val="00B16C6F"/>
    <w:rsid w:val="00B17193"/>
    <w:rsid w:val="00B17407"/>
    <w:rsid w:val="00B1748E"/>
    <w:rsid w:val="00B178CC"/>
    <w:rsid w:val="00B17A3C"/>
    <w:rsid w:val="00B17B6D"/>
    <w:rsid w:val="00B2041A"/>
    <w:rsid w:val="00B20A33"/>
    <w:rsid w:val="00B20AE2"/>
    <w:rsid w:val="00B2121A"/>
    <w:rsid w:val="00B217C1"/>
    <w:rsid w:val="00B21F6E"/>
    <w:rsid w:val="00B234F1"/>
    <w:rsid w:val="00B237C1"/>
    <w:rsid w:val="00B246C6"/>
    <w:rsid w:val="00B24A50"/>
    <w:rsid w:val="00B24D01"/>
    <w:rsid w:val="00B24D22"/>
    <w:rsid w:val="00B251D3"/>
    <w:rsid w:val="00B25279"/>
    <w:rsid w:val="00B2542E"/>
    <w:rsid w:val="00B2646B"/>
    <w:rsid w:val="00B26728"/>
    <w:rsid w:val="00B26D22"/>
    <w:rsid w:val="00B27155"/>
    <w:rsid w:val="00B2787B"/>
    <w:rsid w:val="00B27AE3"/>
    <w:rsid w:val="00B27B9F"/>
    <w:rsid w:val="00B30051"/>
    <w:rsid w:val="00B30A89"/>
    <w:rsid w:val="00B30FAC"/>
    <w:rsid w:val="00B31169"/>
    <w:rsid w:val="00B314CE"/>
    <w:rsid w:val="00B31A97"/>
    <w:rsid w:val="00B32935"/>
    <w:rsid w:val="00B32A07"/>
    <w:rsid w:val="00B33A65"/>
    <w:rsid w:val="00B34230"/>
    <w:rsid w:val="00B344D8"/>
    <w:rsid w:val="00B34B93"/>
    <w:rsid w:val="00B35AA7"/>
    <w:rsid w:val="00B3605F"/>
    <w:rsid w:val="00B36B8E"/>
    <w:rsid w:val="00B404F9"/>
    <w:rsid w:val="00B40696"/>
    <w:rsid w:val="00B40808"/>
    <w:rsid w:val="00B40848"/>
    <w:rsid w:val="00B40C8D"/>
    <w:rsid w:val="00B41761"/>
    <w:rsid w:val="00B43D86"/>
    <w:rsid w:val="00B454B6"/>
    <w:rsid w:val="00B4582A"/>
    <w:rsid w:val="00B45CA1"/>
    <w:rsid w:val="00B46FC6"/>
    <w:rsid w:val="00B51361"/>
    <w:rsid w:val="00B529A9"/>
    <w:rsid w:val="00B52BAA"/>
    <w:rsid w:val="00B52E4F"/>
    <w:rsid w:val="00B52F24"/>
    <w:rsid w:val="00B52F97"/>
    <w:rsid w:val="00B5363B"/>
    <w:rsid w:val="00B5380A"/>
    <w:rsid w:val="00B53B94"/>
    <w:rsid w:val="00B545FF"/>
    <w:rsid w:val="00B54630"/>
    <w:rsid w:val="00B54E3A"/>
    <w:rsid w:val="00B5533B"/>
    <w:rsid w:val="00B55997"/>
    <w:rsid w:val="00B568EA"/>
    <w:rsid w:val="00B56BFF"/>
    <w:rsid w:val="00B57C1B"/>
    <w:rsid w:val="00B60E7C"/>
    <w:rsid w:val="00B60F09"/>
    <w:rsid w:val="00B6134F"/>
    <w:rsid w:val="00B61D28"/>
    <w:rsid w:val="00B63CB2"/>
    <w:rsid w:val="00B64A8D"/>
    <w:rsid w:val="00B64DF4"/>
    <w:rsid w:val="00B650E5"/>
    <w:rsid w:val="00B65660"/>
    <w:rsid w:val="00B65DD3"/>
    <w:rsid w:val="00B65E75"/>
    <w:rsid w:val="00B66B5E"/>
    <w:rsid w:val="00B66CEF"/>
    <w:rsid w:val="00B675BF"/>
    <w:rsid w:val="00B675CC"/>
    <w:rsid w:val="00B6760A"/>
    <w:rsid w:val="00B6760E"/>
    <w:rsid w:val="00B67905"/>
    <w:rsid w:val="00B7007B"/>
    <w:rsid w:val="00B70322"/>
    <w:rsid w:val="00B71601"/>
    <w:rsid w:val="00B71A46"/>
    <w:rsid w:val="00B71D91"/>
    <w:rsid w:val="00B729E3"/>
    <w:rsid w:val="00B73042"/>
    <w:rsid w:val="00B7331B"/>
    <w:rsid w:val="00B73731"/>
    <w:rsid w:val="00B738E6"/>
    <w:rsid w:val="00B73AA7"/>
    <w:rsid w:val="00B743D5"/>
    <w:rsid w:val="00B74EEB"/>
    <w:rsid w:val="00B75284"/>
    <w:rsid w:val="00B75C0E"/>
    <w:rsid w:val="00B76DCF"/>
    <w:rsid w:val="00B77C82"/>
    <w:rsid w:val="00B8002B"/>
    <w:rsid w:val="00B80599"/>
    <w:rsid w:val="00B805F6"/>
    <w:rsid w:val="00B80B15"/>
    <w:rsid w:val="00B80FA5"/>
    <w:rsid w:val="00B81D15"/>
    <w:rsid w:val="00B825F3"/>
    <w:rsid w:val="00B82A4B"/>
    <w:rsid w:val="00B87344"/>
    <w:rsid w:val="00B911E2"/>
    <w:rsid w:val="00B9233C"/>
    <w:rsid w:val="00B923F2"/>
    <w:rsid w:val="00B932AF"/>
    <w:rsid w:val="00B9338F"/>
    <w:rsid w:val="00B93832"/>
    <w:rsid w:val="00B93F8A"/>
    <w:rsid w:val="00B94190"/>
    <w:rsid w:val="00B941C7"/>
    <w:rsid w:val="00B941E6"/>
    <w:rsid w:val="00B94414"/>
    <w:rsid w:val="00B94921"/>
    <w:rsid w:val="00B964F6"/>
    <w:rsid w:val="00B972BC"/>
    <w:rsid w:val="00B97395"/>
    <w:rsid w:val="00BA0091"/>
    <w:rsid w:val="00BA0737"/>
    <w:rsid w:val="00BA0999"/>
    <w:rsid w:val="00BA0AF1"/>
    <w:rsid w:val="00BA0EEE"/>
    <w:rsid w:val="00BA1071"/>
    <w:rsid w:val="00BA1073"/>
    <w:rsid w:val="00BA11E1"/>
    <w:rsid w:val="00BA1B79"/>
    <w:rsid w:val="00BA26B4"/>
    <w:rsid w:val="00BA2AA3"/>
    <w:rsid w:val="00BA2B6F"/>
    <w:rsid w:val="00BA2CAC"/>
    <w:rsid w:val="00BA3004"/>
    <w:rsid w:val="00BA30AE"/>
    <w:rsid w:val="00BA3872"/>
    <w:rsid w:val="00BA389B"/>
    <w:rsid w:val="00BA38A9"/>
    <w:rsid w:val="00BA3985"/>
    <w:rsid w:val="00BA3D93"/>
    <w:rsid w:val="00BA428B"/>
    <w:rsid w:val="00BA50D0"/>
    <w:rsid w:val="00BA5849"/>
    <w:rsid w:val="00BA5AF0"/>
    <w:rsid w:val="00BA5B02"/>
    <w:rsid w:val="00BA5F7C"/>
    <w:rsid w:val="00BA6B7C"/>
    <w:rsid w:val="00BA7832"/>
    <w:rsid w:val="00BB00FC"/>
    <w:rsid w:val="00BB1044"/>
    <w:rsid w:val="00BB2055"/>
    <w:rsid w:val="00BB2503"/>
    <w:rsid w:val="00BB2B12"/>
    <w:rsid w:val="00BB2CF4"/>
    <w:rsid w:val="00BB2D3C"/>
    <w:rsid w:val="00BB2E78"/>
    <w:rsid w:val="00BB2F66"/>
    <w:rsid w:val="00BB3379"/>
    <w:rsid w:val="00BB489B"/>
    <w:rsid w:val="00BB4B65"/>
    <w:rsid w:val="00BB4E0C"/>
    <w:rsid w:val="00BB64E6"/>
    <w:rsid w:val="00BB69A7"/>
    <w:rsid w:val="00BB69E6"/>
    <w:rsid w:val="00BB6C35"/>
    <w:rsid w:val="00BB7441"/>
    <w:rsid w:val="00BB74B1"/>
    <w:rsid w:val="00BB7EF8"/>
    <w:rsid w:val="00BC0D52"/>
    <w:rsid w:val="00BC1464"/>
    <w:rsid w:val="00BC17B5"/>
    <w:rsid w:val="00BC189F"/>
    <w:rsid w:val="00BC18D6"/>
    <w:rsid w:val="00BC30E6"/>
    <w:rsid w:val="00BC3516"/>
    <w:rsid w:val="00BC3576"/>
    <w:rsid w:val="00BC3810"/>
    <w:rsid w:val="00BC3BE6"/>
    <w:rsid w:val="00BC49FF"/>
    <w:rsid w:val="00BC4BCC"/>
    <w:rsid w:val="00BC66D9"/>
    <w:rsid w:val="00BC7241"/>
    <w:rsid w:val="00BC7302"/>
    <w:rsid w:val="00BC7314"/>
    <w:rsid w:val="00BC7915"/>
    <w:rsid w:val="00BD05DD"/>
    <w:rsid w:val="00BD0F37"/>
    <w:rsid w:val="00BD28A3"/>
    <w:rsid w:val="00BD3201"/>
    <w:rsid w:val="00BD37C3"/>
    <w:rsid w:val="00BD40E2"/>
    <w:rsid w:val="00BD496D"/>
    <w:rsid w:val="00BD54E0"/>
    <w:rsid w:val="00BD5CA7"/>
    <w:rsid w:val="00BD5E06"/>
    <w:rsid w:val="00BD613E"/>
    <w:rsid w:val="00BD65B7"/>
    <w:rsid w:val="00BD6873"/>
    <w:rsid w:val="00BD7316"/>
    <w:rsid w:val="00BD73A5"/>
    <w:rsid w:val="00BE0611"/>
    <w:rsid w:val="00BE0AB8"/>
    <w:rsid w:val="00BE0EA9"/>
    <w:rsid w:val="00BE0F06"/>
    <w:rsid w:val="00BE119C"/>
    <w:rsid w:val="00BE1A74"/>
    <w:rsid w:val="00BE24DC"/>
    <w:rsid w:val="00BE48BD"/>
    <w:rsid w:val="00BE565C"/>
    <w:rsid w:val="00BE6596"/>
    <w:rsid w:val="00BE663C"/>
    <w:rsid w:val="00BE6A67"/>
    <w:rsid w:val="00BE73D7"/>
    <w:rsid w:val="00BF008D"/>
    <w:rsid w:val="00BF07F1"/>
    <w:rsid w:val="00BF0B07"/>
    <w:rsid w:val="00BF0BF6"/>
    <w:rsid w:val="00BF0E5E"/>
    <w:rsid w:val="00BF0EBE"/>
    <w:rsid w:val="00BF1C95"/>
    <w:rsid w:val="00BF1F6C"/>
    <w:rsid w:val="00BF2D8E"/>
    <w:rsid w:val="00BF366A"/>
    <w:rsid w:val="00BF3784"/>
    <w:rsid w:val="00BF42BD"/>
    <w:rsid w:val="00BF4380"/>
    <w:rsid w:val="00BF4D75"/>
    <w:rsid w:val="00BF4DA1"/>
    <w:rsid w:val="00BF534E"/>
    <w:rsid w:val="00BF5BF5"/>
    <w:rsid w:val="00BF5C01"/>
    <w:rsid w:val="00BF5CAA"/>
    <w:rsid w:val="00BF5EEF"/>
    <w:rsid w:val="00BF7D0D"/>
    <w:rsid w:val="00C00539"/>
    <w:rsid w:val="00C005E8"/>
    <w:rsid w:val="00C006EA"/>
    <w:rsid w:val="00C00807"/>
    <w:rsid w:val="00C011C7"/>
    <w:rsid w:val="00C01798"/>
    <w:rsid w:val="00C01FA9"/>
    <w:rsid w:val="00C02314"/>
    <w:rsid w:val="00C026BB"/>
    <w:rsid w:val="00C029DF"/>
    <w:rsid w:val="00C0320D"/>
    <w:rsid w:val="00C039A3"/>
    <w:rsid w:val="00C04185"/>
    <w:rsid w:val="00C04CD9"/>
    <w:rsid w:val="00C05371"/>
    <w:rsid w:val="00C055F6"/>
    <w:rsid w:val="00C056EC"/>
    <w:rsid w:val="00C065A3"/>
    <w:rsid w:val="00C068CB"/>
    <w:rsid w:val="00C06D23"/>
    <w:rsid w:val="00C0719B"/>
    <w:rsid w:val="00C07BD9"/>
    <w:rsid w:val="00C07D5C"/>
    <w:rsid w:val="00C07E90"/>
    <w:rsid w:val="00C10E6C"/>
    <w:rsid w:val="00C1169F"/>
    <w:rsid w:val="00C12483"/>
    <w:rsid w:val="00C1306F"/>
    <w:rsid w:val="00C14318"/>
    <w:rsid w:val="00C145DC"/>
    <w:rsid w:val="00C145F0"/>
    <w:rsid w:val="00C14AAD"/>
    <w:rsid w:val="00C14F3A"/>
    <w:rsid w:val="00C15337"/>
    <w:rsid w:val="00C15AA8"/>
    <w:rsid w:val="00C15B38"/>
    <w:rsid w:val="00C171D0"/>
    <w:rsid w:val="00C172E6"/>
    <w:rsid w:val="00C17766"/>
    <w:rsid w:val="00C17CE4"/>
    <w:rsid w:val="00C17F81"/>
    <w:rsid w:val="00C20175"/>
    <w:rsid w:val="00C20A1D"/>
    <w:rsid w:val="00C20D54"/>
    <w:rsid w:val="00C22436"/>
    <w:rsid w:val="00C2282D"/>
    <w:rsid w:val="00C22CA6"/>
    <w:rsid w:val="00C22D2C"/>
    <w:rsid w:val="00C230D9"/>
    <w:rsid w:val="00C23BFA"/>
    <w:rsid w:val="00C248CA"/>
    <w:rsid w:val="00C24F2A"/>
    <w:rsid w:val="00C25351"/>
    <w:rsid w:val="00C25C08"/>
    <w:rsid w:val="00C260DA"/>
    <w:rsid w:val="00C268DB"/>
    <w:rsid w:val="00C26AEA"/>
    <w:rsid w:val="00C26B63"/>
    <w:rsid w:val="00C277D4"/>
    <w:rsid w:val="00C2784F"/>
    <w:rsid w:val="00C2794B"/>
    <w:rsid w:val="00C30D15"/>
    <w:rsid w:val="00C314D5"/>
    <w:rsid w:val="00C317A5"/>
    <w:rsid w:val="00C3290E"/>
    <w:rsid w:val="00C32FB1"/>
    <w:rsid w:val="00C330E3"/>
    <w:rsid w:val="00C3353A"/>
    <w:rsid w:val="00C3355F"/>
    <w:rsid w:val="00C34B08"/>
    <w:rsid w:val="00C3529F"/>
    <w:rsid w:val="00C35307"/>
    <w:rsid w:val="00C353AC"/>
    <w:rsid w:val="00C35AE2"/>
    <w:rsid w:val="00C36C78"/>
    <w:rsid w:val="00C377BE"/>
    <w:rsid w:val="00C4097A"/>
    <w:rsid w:val="00C411A0"/>
    <w:rsid w:val="00C41247"/>
    <w:rsid w:val="00C41A0F"/>
    <w:rsid w:val="00C42860"/>
    <w:rsid w:val="00C42E66"/>
    <w:rsid w:val="00C43291"/>
    <w:rsid w:val="00C43DA8"/>
    <w:rsid w:val="00C43FCC"/>
    <w:rsid w:val="00C44237"/>
    <w:rsid w:val="00C44496"/>
    <w:rsid w:val="00C45208"/>
    <w:rsid w:val="00C4544F"/>
    <w:rsid w:val="00C4547E"/>
    <w:rsid w:val="00C456D0"/>
    <w:rsid w:val="00C46BDD"/>
    <w:rsid w:val="00C502B3"/>
    <w:rsid w:val="00C50FE9"/>
    <w:rsid w:val="00C51371"/>
    <w:rsid w:val="00C51E7D"/>
    <w:rsid w:val="00C52818"/>
    <w:rsid w:val="00C52862"/>
    <w:rsid w:val="00C52FA5"/>
    <w:rsid w:val="00C5437E"/>
    <w:rsid w:val="00C5494D"/>
    <w:rsid w:val="00C54EFD"/>
    <w:rsid w:val="00C559E2"/>
    <w:rsid w:val="00C55A48"/>
    <w:rsid w:val="00C56A1B"/>
    <w:rsid w:val="00C56FD3"/>
    <w:rsid w:val="00C579DB"/>
    <w:rsid w:val="00C605DB"/>
    <w:rsid w:val="00C61209"/>
    <w:rsid w:val="00C61508"/>
    <w:rsid w:val="00C615B9"/>
    <w:rsid w:val="00C61693"/>
    <w:rsid w:val="00C619B6"/>
    <w:rsid w:val="00C619E6"/>
    <w:rsid w:val="00C62BC6"/>
    <w:rsid w:val="00C62D75"/>
    <w:rsid w:val="00C63230"/>
    <w:rsid w:val="00C63CFF"/>
    <w:rsid w:val="00C64D12"/>
    <w:rsid w:val="00C65210"/>
    <w:rsid w:val="00C660B1"/>
    <w:rsid w:val="00C67D68"/>
    <w:rsid w:val="00C67DFC"/>
    <w:rsid w:val="00C710B3"/>
    <w:rsid w:val="00C71331"/>
    <w:rsid w:val="00C716BB"/>
    <w:rsid w:val="00C731C2"/>
    <w:rsid w:val="00C73569"/>
    <w:rsid w:val="00C73671"/>
    <w:rsid w:val="00C73925"/>
    <w:rsid w:val="00C74338"/>
    <w:rsid w:val="00C75410"/>
    <w:rsid w:val="00C7668F"/>
    <w:rsid w:val="00C80B8A"/>
    <w:rsid w:val="00C80C16"/>
    <w:rsid w:val="00C8169C"/>
    <w:rsid w:val="00C816C0"/>
    <w:rsid w:val="00C825C0"/>
    <w:rsid w:val="00C83BA2"/>
    <w:rsid w:val="00C84875"/>
    <w:rsid w:val="00C85EBC"/>
    <w:rsid w:val="00C86D68"/>
    <w:rsid w:val="00C872A9"/>
    <w:rsid w:val="00C8794E"/>
    <w:rsid w:val="00C87F6B"/>
    <w:rsid w:val="00C91080"/>
    <w:rsid w:val="00C916C9"/>
    <w:rsid w:val="00C92920"/>
    <w:rsid w:val="00C936F1"/>
    <w:rsid w:val="00C93767"/>
    <w:rsid w:val="00C93868"/>
    <w:rsid w:val="00C945D3"/>
    <w:rsid w:val="00C95A8B"/>
    <w:rsid w:val="00C95A95"/>
    <w:rsid w:val="00C96D75"/>
    <w:rsid w:val="00C96DE2"/>
    <w:rsid w:val="00C971FF"/>
    <w:rsid w:val="00C97C25"/>
    <w:rsid w:val="00CA01DE"/>
    <w:rsid w:val="00CA0F0F"/>
    <w:rsid w:val="00CA175C"/>
    <w:rsid w:val="00CA1B91"/>
    <w:rsid w:val="00CA1C61"/>
    <w:rsid w:val="00CA2043"/>
    <w:rsid w:val="00CA2AC2"/>
    <w:rsid w:val="00CA2DB3"/>
    <w:rsid w:val="00CA3030"/>
    <w:rsid w:val="00CA40FD"/>
    <w:rsid w:val="00CA50FA"/>
    <w:rsid w:val="00CA56B2"/>
    <w:rsid w:val="00CA5718"/>
    <w:rsid w:val="00CA6158"/>
    <w:rsid w:val="00CA6898"/>
    <w:rsid w:val="00CA6AC9"/>
    <w:rsid w:val="00CA77EB"/>
    <w:rsid w:val="00CB05FC"/>
    <w:rsid w:val="00CB103E"/>
    <w:rsid w:val="00CB1CE4"/>
    <w:rsid w:val="00CB1EAA"/>
    <w:rsid w:val="00CB2084"/>
    <w:rsid w:val="00CB2247"/>
    <w:rsid w:val="00CB2386"/>
    <w:rsid w:val="00CB2ED2"/>
    <w:rsid w:val="00CB3308"/>
    <w:rsid w:val="00CB3810"/>
    <w:rsid w:val="00CB4D1D"/>
    <w:rsid w:val="00CB4EBF"/>
    <w:rsid w:val="00CB4F52"/>
    <w:rsid w:val="00CB53ED"/>
    <w:rsid w:val="00CB5807"/>
    <w:rsid w:val="00CB62BB"/>
    <w:rsid w:val="00CB732F"/>
    <w:rsid w:val="00CC027D"/>
    <w:rsid w:val="00CC0939"/>
    <w:rsid w:val="00CC1161"/>
    <w:rsid w:val="00CC11CE"/>
    <w:rsid w:val="00CC1641"/>
    <w:rsid w:val="00CC2E8A"/>
    <w:rsid w:val="00CC3591"/>
    <w:rsid w:val="00CC4677"/>
    <w:rsid w:val="00CC4CBF"/>
    <w:rsid w:val="00CC58B3"/>
    <w:rsid w:val="00CC6096"/>
    <w:rsid w:val="00CC6CD4"/>
    <w:rsid w:val="00CC6FD7"/>
    <w:rsid w:val="00CC7F46"/>
    <w:rsid w:val="00CD208F"/>
    <w:rsid w:val="00CD31D3"/>
    <w:rsid w:val="00CD3A14"/>
    <w:rsid w:val="00CD3EF1"/>
    <w:rsid w:val="00CD414B"/>
    <w:rsid w:val="00CD6060"/>
    <w:rsid w:val="00CD6106"/>
    <w:rsid w:val="00CD68B3"/>
    <w:rsid w:val="00CD748C"/>
    <w:rsid w:val="00CD74D6"/>
    <w:rsid w:val="00CD77D0"/>
    <w:rsid w:val="00CE01F7"/>
    <w:rsid w:val="00CE0DE3"/>
    <w:rsid w:val="00CE2222"/>
    <w:rsid w:val="00CE22DE"/>
    <w:rsid w:val="00CE24BE"/>
    <w:rsid w:val="00CE2C82"/>
    <w:rsid w:val="00CE3F76"/>
    <w:rsid w:val="00CE450F"/>
    <w:rsid w:val="00CE4992"/>
    <w:rsid w:val="00CE4C7C"/>
    <w:rsid w:val="00CE4DFD"/>
    <w:rsid w:val="00CE5389"/>
    <w:rsid w:val="00CE66D4"/>
    <w:rsid w:val="00CE74F1"/>
    <w:rsid w:val="00CE7B65"/>
    <w:rsid w:val="00CF0C96"/>
    <w:rsid w:val="00CF16ED"/>
    <w:rsid w:val="00CF2036"/>
    <w:rsid w:val="00CF2291"/>
    <w:rsid w:val="00CF2818"/>
    <w:rsid w:val="00CF292E"/>
    <w:rsid w:val="00CF322D"/>
    <w:rsid w:val="00CF32DA"/>
    <w:rsid w:val="00CF42A1"/>
    <w:rsid w:val="00CF4525"/>
    <w:rsid w:val="00CF4957"/>
    <w:rsid w:val="00CF4D2F"/>
    <w:rsid w:val="00CF554A"/>
    <w:rsid w:val="00CF590C"/>
    <w:rsid w:val="00CF5C65"/>
    <w:rsid w:val="00CF60BB"/>
    <w:rsid w:val="00CF7069"/>
    <w:rsid w:val="00CF7CC0"/>
    <w:rsid w:val="00D0003D"/>
    <w:rsid w:val="00D00105"/>
    <w:rsid w:val="00D009C8"/>
    <w:rsid w:val="00D00B1D"/>
    <w:rsid w:val="00D00C81"/>
    <w:rsid w:val="00D01337"/>
    <w:rsid w:val="00D0138C"/>
    <w:rsid w:val="00D01920"/>
    <w:rsid w:val="00D02552"/>
    <w:rsid w:val="00D03A02"/>
    <w:rsid w:val="00D04F6A"/>
    <w:rsid w:val="00D050D9"/>
    <w:rsid w:val="00D055B5"/>
    <w:rsid w:val="00D05866"/>
    <w:rsid w:val="00D05EAB"/>
    <w:rsid w:val="00D064DC"/>
    <w:rsid w:val="00D06F90"/>
    <w:rsid w:val="00D070A9"/>
    <w:rsid w:val="00D077DD"/>
    <w:rsid w:val="00D10237"/>
    <w:rsid w:val="00D102B9"/>
    <w:rsid w:val="00D10517"/>
    <w:rsid w:val="00D1143C"/>
    <w:rsid w:val="00D114B9"/>
    <w:rsid w:val="00D1157C"/>
    <w:rsid w:val="00D12BA5"/>
    <w:rsid w:val="00D137C4"/>
    <w:rsid w:val="00D139EB"/>
    <w:rsid w:val="00D14985"/>
    <w:rsid w:val="00D1561E"/>
    <w:rsid w:val="00D16018"/>
    <w:rsid w:val="00D16CF4"/>
    <w:rsid w:val="00D16DF3"/>
    <w:rsid w:val="00D17A90"/>
    <w:rsid w:val="00D17BE8"/>
    <w:rsid w:val="00D17D4B"/>
    <w:rsid w:val="00D17F87"/>
    <w:rsid w:val="00D21565"/>
    <w:rsid w:val="00D219A7"/>
    <w:rsid w:val="00D21A89"/>
    <w:rsid w:val="00D2206E"/>
    <w:rsid w:val="00D2289C"/>
    <w:rsid w:val="00D237A2"/>
    <w:rsid w:val="00D23FE0"/>
    <w:rsid w:val="00D24FFD"/>
    <w:rsid w:val="00D251BE"/>
    <w:rsid w:val="00D25EE1"/>
    <w:rsid w:val="00D27361"/>
    <w:rsid w:val="00D27FF5"/>
    <w:rsid w:val="00D3073C"/>
    <w:rsid w:val="00D30A9A"/>
    <w:rsid w:val="00D31B38"/>
    <w:rsid w:val="00D31FE6"/>
    <w:rsid w:val="00D32426"/>
    <w:rsid w:val="00D32432"/>
    <w:rsid w:val="00D32522"/>
    <w:rsid w:val="00D32C63"/>
    <w:rsid w:val="00D33326"/>
    <w:rsid w:val="00D33967"/>
    <w:rsid w:val="00D33C86"/>
    <w:rsid w:val="00D33E6D"/>
    <w:rsid w:val="00D35663"/>
    <w:rsid w:val="00D3611D"/>
    <w:rsid w:val="00D362A9"/>
    <w:rsid w:val="00D36B32"/>
    <w:rsid w:val="00D37FDF"/>
    <w:rsid w:val="00D40F3D"/>
    <w:rsid w:val="00D417FB"/>
    <w:rsid w:val="00D43C74"/>
    <w:rsid w:val="00D444AC"/>
    <w:rsid w:val="00D44DFE"/>
    <w:rsid w:val="00D4537C"/>
    <w:rsid w:val="00D46432"/>
    <w:rsid w:val="00D46458"/>
    <w:rsid w:val="00D464D0"/>
    <w:rsid w:val="00D4756D"/>
    <w:rsid w:val="00D5047C"/>
    <w:rsid w:val="00D525D2"/>
    <w:rsid w:val="00D5260B"/>
    <w:rsid w:val="00D52AFF"/>
    <w:rsid w:val="00D52BE7"/>
    <w:rsid w:val="00D52F9D"/>
    <w:rsid w:val="00D5305B"/>
    <w:rsid w:val="00D5353B"/>
    <w:rsid w:val="00D53868"/>
    <w:rsid w:val="00D5472F"/>
    <w:rsid w:val="00D551FB"/>
    <w:rsid w:val="00D56467"/>
    <w:rsid w:val="00D570FF"/>
    <w:rsid w:val="00D57F72"/>
    <w:rsid w:val="00D60B97"/>
    <w:rsid w:val="00D60CD7"/>
    <w:rsid w:val="00D616B2"/>
    <w:rsid w:val="00D6272B"/>
    <w:rsid w:val="00D627E0"/>
    <w:rsid w:val="00D62A7B"/>
    <w:rsid w:val="00D642B3"/>
    <w:rsid w:val="00D644C8"/>
    <w:rsid w:val="00D647BF"/>
    <w:rsid w:val="00D64AAD"/>
    <w:rsid w:val="00D65E10"/>
    <w:rsid w:val="00D674E7"/>
    <w:rsid w:val="00D67D4A"/>
    <w:rsid w:val="00D67E78"/>
    <w:rsid w:val="00D67EEC"/>
    <w:rsid w:val="00D70235"/>
    <w:rsid w:val="00D728A9"/>
    <w:rsid w:val="00D73F50"/>
    <w:rsid w:val="00D73F8C"/>
    <w:rsid w:val="00D753FC"/>
    <w:rsid w:val="00D76771"/>
    <w:rsid w:val="00D76849"/>
    <w:rsid w:val="00D76A25"/>
    <w:rsid w:val="00D77F5C"/>
    <w:rsid w:val="00D80F72"/>
    <w:rsid w:val="00D81058"/>
    <w:rsid w:val="00D81E05"/>
    <w:rsid w:val="00D82CEF"/>
    <w:rsid w:val="00D835BA"/>
    <w:rsid w:val="00D835CB"/>
    <w:rsid w:val="00D83D2F"/>
    <w:rsid w:val="00D8412C"/>
    <w:rsid w:val="00D84AAA"/>
    <w:rsid w:val="00D85CFD"/>
    <w:rsid w:val="00D85FD5"/>
    <w:rsid w:val="00D860CF"/>
    <w:rsid w:val="00D863B2"/>
    <w:rsid w:val="00D8665F"/>
    <w:rsid w:val="00D86B91"/>
    <w:rsid w:val="00D86CD2"/>
    <w:rsid w:val="00D877C9"/>
    <w:rsid w:val="00D87C13"/>
    <w:rsid w:val="00D90ACC"/>
    <w:rsid w:val="00D913EF"/>
    <w:rsid w:val="00D91411"/>
    <w:rsid w:val="00D92628"/>
    <w:rsid w:val="00D93835"/>
    <w:rsid w:val="00D9395D"/>
    <w:rsid w:val="00D9428D"/>
    <w:rsid w:val="00D94CFE"/>
    <w:rsid w:val="00D9594F"/>
    <w:rsid w:val="00D95C0B"/>
    <w:rsid w:val="00D95EAD"/>
    <w:rsid w:val="00D96665"/>
    <w:rsid w:val="00D9681D"/>
    <w:rsid w:val="00D9731C"/>
    <w:rsid w:val="00DA02A7"/>
    <w:rsid w:val="00DA0814"/>
    <w:rsid w:val="00DA08A7"/>
    <w:rsid w:val="00DA1391"/>
    <w:rsid w:val="00DA14AF"/>
    <w:rsid w:val="00DA1D5C"/>
    <w:rsid w:val="00DA1D89"/>
    <w:rsid w:val="00DA2224"/>
    <w:rsid w:val="00DA2651"/>
    <w:rsid w:val="00DA2F7C"/>
    <w:rsid w:val="00DA32D5"/>
    <w:rsid w:val="00DA3DF7"/>
    <w:rsid w:val="00DA3F19"/>
    <w:rsid w:val="00DA43E1"/>
    <w:rsid w:val="00DA69F4"/>
    <w:rsid w:val="00DA7167"/>
    <w:rsid w:val="00DA7F2C"/>
    <w:rsid w:val="00DA7F76"/>
    <w:rsid w:val="00DA7FDB"/>
    <w:rsid w:val="00DB1237"/>
    <w:rsid w:val="00DB1279"/>
    <w:rsid w:val="00DB1A2B"/>
    <w:rsid w:val="00DB1E4B"/>
    <w:rsid w:val="00DB1E50"/>
    <w:rsid w:val="00DB2853"/>
    <w:rsid w:val="00DB351E"/>
    <w:rsid w:val="00DB35CE"/>
    <w:rsid w:val="00DB43AB"/>
    <w:rsid w:val="00DB5476"/>
    <w:rsid w:val="00DB5765"/>
    <w:rsid w:val="00DB6652"/>
    <w:rsid w:val="00DB6924"/>
    <w:rsid w:val="00DB6C04"/>
    <w:rsid w:val="00DB7ECE"/>
    <w:rsid w:val="00DC0068"/>
    <w:rsid w:val="00DC05C1"/>
    <w:rsid w:val="00DC0AA4"/>
    <w:rsid w:val="00DC1274"/>
    <w:rsid w:val="00DC3BA6"/>
    <w:rsid w:val="00DC3C71"/>
    <w:rsid w:val="00DC489D"/>
    <w:rsid w:val="00DC4B3D"/>
    <w:rsid w:val="00DC5FD2"/>
    <w:rsid w:val="00DC603E"/>
    <w:rsid w:val="00DC613C"/>
    <w:rsid w:val="00DC61DE"/>
    <w:rsid w:val="00DC6A96"/>
    <w:rsid w:val="00DC6CEF"/>
    <w:rsid w:val="00DC707D"/>
    <w:rsid w:val="00DC7294"/>
    <w:rsid w:val="00DC7851"/>
    <w:rsid w:val="00DC798E"/>
    <w:rsid w:val="00DD0924"/>
    <w:rsid w:val="00DD107D"/>
    <w:rsid w:val="00DD1385"/>
    <w:rsid w:val="00DD1BDF"/>
    <w:rsid w:val="00DD1F88"/>
    <w:rsid w:val="00DD377D"/>
    <w:rsid w:val="00DD3952"/>
    <w:rsid w:val="00DD4712"/>
    <w:rsid w:val="00DD4836"/>
    <w:rsid w:val="00DD6041"/>
    <w:rsid w:val="00DD68D5"/>
    <w:rsid w:val="00DD6B5A"/>
    <w:rsid w:val="00DD7086"/>
    <w:rsid w:val="00DE0807"/>
    <w:rsid w:val="00DE0A5F"/>
    <w:rsid w:val="00DE0E18"/>
    <w:rsid w:val="00DE0EE8"/>
    <w:rsid w:val="00DE0F4B"/>
    <w:rsid w:val="00DE1CA1"/>
    <w:rsid w:val="00DE2148"/>
    <w:rsid w:val="00DE2181"/>
    <w:rsid w:val="00DE2867"/>
    <w:rsid w:val="00DE2895"/>
    <w:rsid w:val="00DE495B"/>
    <w:rsid w:val="00DE49E6"/>
    <w:rsid w:val="00DE4B5D"/>
    <w:rsid w:val="00DE4B6D"/>
    <w:rsid w:val="00DE4BA1"/>
    <w:rsid w:val="00DE583F"/>
    <w:rsid w:val="00DE58D8"/>
    <w:rsid w:val="00DE5E38"/>
    <w:rsid w:val="00DE6DFF"/>
    <w:rsid w:val="00DE7836"/>
    <w:rsid w:val="00DE7F48"/>
    <w:rsid w:val="00DF009E"/>
    <w:rsid w:val="00DF015B"/>
    <w:rsid w:val="00DF0651"/>
    <w:rsid w:val="00DF0F76"/>
    <w:rsid w:val="00DF1547"/>
    <w:rsid w:val="00DF1631"/>
    <w:rsid w:val="00DF1706"/>
    <w:rsid w:val="00DF19C9"/>
    <w:rsid w:val="00DF218B"/>
    <w:rsid w:val="00DF2CC3"/>
    <w:rsid w:val="00DF2E65"/>
    <w:rsid w:val="00DF35FF"/>
    <w:rsid w:val="00DF37B5"/>
    <w:rsid w:val="00DF3D48"/>
    <w:rsid w:val="00DF47A0"/>
    <w:rsid w:val="00DF4CA1"/>
    <w:rsid w:val="00DF50AD"/>
    <w:rsid w:val="00DF545F"/>
    <w:rsid w:val="00DF5DB0"/>
    <w:rsid w:val="00DF6679"/>
    <w:rsid w:val="00DF72C8"/>
    <w:rsid w:val="00DF7F3A"/>
    <w:rsid w:val="00E00F5B"/>
    <w:rsid w:val="00E010F9"/>
    <w:rsid w:val="00E0118E"/>
    <w:rsid w:val="00E016EE"/>
    <w:rsid w:val="00E01B6F"/>
    <w:rsid w:val="00E01FDB"/>
    <w:rsid w:val="00E023CF"/>
    <w:rsid w:val="00E02CBC"/>
    <w:rsid w:val="00E0321B"/>
    <w:rsid w:val="00E03931"/>
    <w:rsid w:val="00E03CAD"/>
    <w:rsid w:val="00E0437E"/>
    <w:rsid w:val="00E043EA"/>
    <w:rsid w:val="00E04686"/>
    <w:rsid w:val="00E04EF4"/>
    <w:rsid w:val="00E06BAB"/>
    <w:rsid w:val="00E07480"/>
    <w:rsid w:val="00E07942"/>
    <w:rsid w:val="00E07DC7"/>
    <w:rsid w:val="00E07E3E"/>
    <w:rsid w:val="00E10225"/>
    <w:rsid w:val="00E10BE0"/>
    <w:rsid w:val="00E1185D"/>
    <w:rsid w:val="00E13C40"/>
    <w:rsid w:val="00E13E46"/>
    <w:rsid w:val="00E1489C"/>
    <w:rsid w:val="00E1669E"/>
    <w:rsid w:val="00E16807"/>
    <w:rsid w:val="00E16BE1"/>
    <w:rsid w:val="00E2014F"/>
    <w:rsid w:val="00E201E7"/>
    <w:rsid w:val="00E2119E"/>
    <w:rsid w:val="00E213B8"/>
    <w:rsid w:val="00E21BD3"/>
    <w:rsid w:val="00E220AF"/>
    <w:rsid w:val="00E22908"/>
    <w:rsid w:val="00E22F60"/>
    <w:rsid w:val="00E23D98"/>
    <w:rsid w:val="00E24416"/>
    <w:rsid w:val="00E252CB"/>
    <w:rsid w:val="00E254EC"/>
    <w:rsid w:val="00E255EF"/>
    <w:rsid w:val="00E256C3"/>
    <w:rsid w:val="00E25C50"/>
    <w:rsid w:val="00E2619B"/>
    <w:rsid w:val="00E262F2"/>
    <w:rsid w:val="00E27AD4"/>
    <w:rsid w:val="00E27DAA"/>
    <w:rsid w:val="00E27DD2"/>
    <w:rsid w:val="00E30AFE"/>
    <w:rsid w:val="00E31447"/>
    <w:rsid w:val="00E32742"/>
    <w:rsid w:val="00E32C38"/>
    <w:rsid w:val="00E32F7D"/>
    <w:rsid w:val="00E33D2E"/>
    <w:rsid w:val="00E33F4A"/>
    <w:rsid w:val="00E342B8"/>
    <w:rsid w:val="00E34808"/>
    <w:rsid w:val="00E34F20"/>
    <w:rsid w:val="00E35096"/>
    <w:rsid w:val="00E35115"/>
    <w:rsid w:val="00E351E4"/>
    <w:rsid w:val="00E35271"/>
    <w:rsid w:val="00E375F0"/>
    <w:rsid w:val="00E37659"/>
    <w:rsid w:val="00E37D73"/>
    <w:rsid w:val="00E40399"/>
    <w:rsid w:val="00E415C3"/>
    <w:rsid w:val="00E421A1"/>
    <w:rsid w:val="00E4244C"/>
    <w:rsid w:val="00E43CAF"/>
    <w:rsid w:val="00E44635"/>
    <w:rsid w:val="00E44690"/>
    <w:rsid w:val="00E45246"/>
    <w:rsid w:val="00E4529F"/>
    <w:rsid w:val="00E45D22"/>
    <w:rsid w:val="00E45EC9"/>
    <w:rsid w:val="00E46ACF"/>
    <w:rsid w:val="00E46CE3"/>
    <w:rsid w:val="00E47A9C"/>
    <w:rsid w:val="00E50118"/>
    <w:rsid w:val="00E51AAC"/>
    <w:rsid w:val="00E52F2B"/>
    <w:rsid w:val="00E53993"/>
    <w:rsid w:val="00E540A3"/>
    <w:rsid w:val="00E549BD"/>
    <w:rsid w:val="00E54E1C"/>
    <w:rsid w:val="00E550F7"/>
    <w:rsid w:val="00E559DA"/>
    <w:rsid w:val="00E55D26"/>
    <w:rsid w:val="00E56923"/>
    <w:rsid w:val="00E56960"/>
    <w:rsid w:val="00E5730A"/>
    <w:rsid w:val="00E57469"/>
    <w:rsid w:val="00E57597"/>
    <w:rsid w:val="00E57AFB"/>
    <w:rsid w:val="00E61307"/>
    <w:rsid w:val="00E61592"/>
    <w:rsid w:val="00E62AC6"/>
    <w:rsid w:val="00E63A7D"/>
    <w:rsid w:val="00E64C89"/>
    <w:rsid w:val="00E653BA"/>
    <w:rsid w:val="00E65A61"/>
    <w:rsid w:val="00E66F9B"/>
    <w:rsid w:val="00E67398"/>
    <w:rsid w:val="00E705D2"/>
    <w:rsid w:val="00E708FB"/>
    <w:rsid w:val="00E70AC3"/>
    <w:rsid w:val="00E70D57"/>
    <w:rsid w:val="00E70DA7"/>
    <w:rsid w:val="00E7158D"/>
    <w:rsid w:val="00E7178E"/>
    <w:rsid w:val="00E71861"/>
    <w:rsid w:val="00E71A34"/>
    <w:rsid w:val="00E74AE9"/>
    <w:rsid w:val="00E74D8B"/>
    <w:rsid w:val="00E74F14"/>
    <w:rsid w:val="00E761D2"/>
    <w:rsid w:val="00E76201"/>
    <w:rsid w:val="00E774B2"/>
    <w:rsid w:val="00E774F4"/>
    <w:rsid w:val="00E80D3C"/>
    <w:rsid w:val="00E81F4C"/>
    <w:rsid w:val="00E824D6"/>
    <w:rsid w:val="00E8497D"/>
    <w:rsid w:val="00E8576B"/>
    <w:rsid w:val="00E87242"/>
    <w:rsid w:val="00E874C3"/>
    <w:rsid w:val="00E8752D"/>
    <w:rsid w:val="00E87C5A"/>
    <w:rsid w:val="00E87D5F"/>
    <w:rsid w:val="00E90CF8"/>
    <w:rsid w:val="00E91520"/>
    <w:rsid w:val="00E91931"/>
    <w:rsid w:val="00E9217E"/>
    <w:rsid w:val="00E92C24"/>
    <w:rsid w:val="00E9366E"/>
    <w:rsid w:val="00E93917"/>
    <w:rsid w:val="00E94E99"/>
    <w:rsid w:val="00E95175"/>
    <w:rsid w:val="00E951D9"/>
    <w:rsid w:val="00E95BED"/>
    <w:rsid w:val="00E96379"/>
    <w:rsid w:val="00E96ADF"/>
    <w:rsid w:val="00E976FC"/>
    <w:rsid w:val="00EA076E"/>
    <w:rsid w:val="00EA10F9"/>
    <w:rsid w:val="00EA138F"/>
    <w:rsid w:val="00EA1A15"/>
    <w:rsid w:val="00EA1B43"/>
    <w:rsid w:val="00EA1D91"/>
    <w:rsid w:val="00EA26B5"/>
    <w:rsid w:val="00EA30CA"/>
    <w:rsid w:val="00EA5038"/>
    <w:rsid w:val="00EA628A"/>
    <w:rsid w:val="00EA68D3"/>
    <w:rsid w:val="00EA74C0"/>
    <w:rsid w:val="00EA75BB"/>
    <w:rsid w:val="00EA760A"/>
    <w:rsid w:val="00EA773B"/>
    <w:rsid w:val="00EA7E67"/>
    <w:rsid w:val="00EB0692"/>
    <w:rsid w:val="00EB0E89"/>
    <w:rsid w:val="00EB167D"/>
    <w:rsid w:val="00EB2D4C"/>
    <w:rsid w:val="00EB2E3A"/>
    <w:rsid w:val="00EB41C3"/>
    <w:rsid w:val="00EB458D"/>
    <w:rsid w:val="00EB50CB"/>
    <w:rsid w:val="00EB5106"/>
    <w:rsid w:val="00EB5558"/>
    <w:rsid w:val="00EB5838"/>
    <w:rsid w:val="00EB5B12"/>
    <w:rsid w:val="00EB6A40"/>
    <w:rsid w:val="00EB6C83"/>
    <w:rsid w:val="00EB6D26"/>
    <w:rsid w:val="00EB7127"/>
    <w:rsid w:val="00EC130C"/>
    <w:rsid w:val="00EC1398"/>
    <w:rsid w:val="00EC1D4E"/>
    <w:rsid w:val="00EC1D83"/>
    <w:rsid w:val="00EC2D0C"/>
    <w:rsid w:val="00EC3562"/>
    <w:rsid w:val="00EC3790"/>
    <w:rsid w:val="00EC445A"/>
    <w:rsid w:val="00EC4636"/>
    <w:rsid w:val="00EC49AE"/>
    <w:rsid w:val="00EC4E90"/>
    <w:rsid w:val="00EC53C1"/>
    <w:rsid w:val="00EC6345"/>
    <w:rsid w:val="00EC69DE"/>
    <w:rsid w:val="00EC6CD1"/>
    <w:rsid w:val="00EC7908"/>
    <w:rsid w:val="00ED0CD7"/>
    <w:rsid w:val="00ED0D5D"/>
    <w:rsid w:val="00ED321F"/>
    <w:rsid w:val="00ED3EAB"/>
    <w:rsid w:val="00ED3F13"/>
    <w:rsid w:val="00ED429F"/>
    <w:rsid w:val="00ED54B5"/>
    <w:rsid w:val="00ED5F8F"/>
    <w:rsid w:val="00ED6943"/>
    <w:rsid w:val="00ED6D97"/>
    <w:rsid w:val="00ED7223"/>
    <w:rsid w:val="00ED7794"/>
    <w:rsid w:val="00ED7D9C"/>
    <w:rsid w:val="00EE05EF"/>
    <w:rsid w:val="00EE14BF"/>
    <w:rsid w:val="00EE232C"/>
    <w:rsid w:val="00EE3123"/>
    <w:rsid w:val="00EE3839"/>
    <w:rsid w:val="00EE3C7C"/>
    <w:rsid w:val="00EE3F4D"/>
    <w:rsid w:val="00EE486F"/>
    <w:rsid w:val="00EE5067"/>
    <w:rsid w:val="00EE58F8"/>
    <w:rsid w:val="00EE608B"/>
    <w:rsid w:val="00EE68A3"/>
    <w:rsid w:val="00EE71DB"/>
    <w:rsid w:val="00EF059A"/>
    <w:rsid w:val="00EF0839"/>
    <w:rsid w:val="00EF08FF"/>
    <w:rsid w:val="00EF297F"/>
    <w:rsid w:val="00EF2BBC"/>
    <w:rsid w:val="00EF2EA9"/>
    <w:rsid w:val="00EF34D4"/>
    <w:rsid w:val="00EF3A17"/>
    <w:rsid w:val="00EF3B92"/>
    <w:rsid w:val="00EF4E15"/>
    <w:rsid w:val="00EF5D47"/>
    <w:rsid w:val="00EF6D6B"/>
    <w:rsid w:val="00EF6DA1"/>
    <w:rsid w:val="00EF70F6"/>
    <w:rsid w:val="00F00139"/>
    <w:rsid w:val="00F00A18"/>
    <w:rsid w:val="00F0146A"/>
    <w:rsid w:val="00F01578"/>
    <w:rsid w:val="00F02098"/>
    <w:rsid w:val="00F02AA4"/>
    <w:rsid w:val="00F0332E"/>
    <w:rsid w:val="00F033CD"/>
    <w:rsid w:val="00F040E1"/>
    <w:rsid w:val="00F055C8"/>
    <w:rsid w:val="00F0659D"/>
    <w:rsid w:val="00F06C02"/>
    <w:rsid w:val="00F070D4"/>
    <w:rsid w:val="00F07208"/>
    <w:rsid w:val="00F0769E"/>
    <w:rsid w:val="00F07ABA"/>
    <w:rsid w:val="00F07E84"/>
    <w:rsid w:val="00F10A19"/>
    <w:rsid w:val="00F10EFD"/>
    <w:rsid w:val="00F11BF3"/>
    <w:rsid w:val="00F11E28"/>
    <w:rsid w:val="00F12024"/>
    <w:rsid w:val="00F1230F"/>
    <w:rsid w:val="00F12C86"/>
    <w:rsid w:val="00F13241"/>
    <w:rsid w:val="00F139A3"/>
    <w:rsid w:val="00F14A4C"/>
    <w:rsid w:val="00F14B21"/>
    <w:rsid w:val="00F16145"/>
    <w:rsid w:val="00F1738C"/>
    <w:rsid w:val="00F17704"/>
    <w:rsid w:val="00F17BC6"/>
    <w:rsid w:val="00F17FFB"/>
    <w:rsid w:val="00F200D8"/>
    <w:rsid w:val="00F20B73"/>
    <w:rsid w:val="00F2106A"/>
    <w:rsid w:val="00F211A9"/>
    <w:rsid w:val="00F21354"/>
    <w:rsid w:val="00F215AF"/>
    <w:rsid w:val="00F216BC"/>
    <w:rsid w:val="00F22914"/>
    <w:rsid w:val="00F23759"/>
    <w:rsid w:val="00F23CB8"/>
    <w:rsid w:val="00F2476F"/>
    <w:rsid w:val="00F24ABC"/>
    <w:rsid w:val="00F24CBC"/>
    <w:rsid w:val="00F2568F"/>
    <w:rsid w:val="00F25B7E"/>
    <w:rsid w:val="00F260D4"/>
    <w:rsid w:val="00F27A41"/>
    <w:rsid w:val="00F300F9"/>
    <w:rsid w:val="00F313C3"/>
    <w:rsid w:val="00F31685"/>
    <w:rsid w:val="00F319E7"/>
    <w:rsid w:val="00F32CF2"/>
    <w:rsid w:val="00F33057"/>
    <w:rsid w:val="00F3352F"/>
    <w:rsid w:val="00F33BB2"/>
    <w:rsid w:val="00F33DBD"/>
    <w:rsid w:val="00F35859"/>
    <w:rsid w:val="00F35990"/>
    <w:rsid w:val="00F35AAD"/>
    <w:rsid w:val="00F36387"/>
    <w:rsid w:val="00F366BC"/>
    <w:rsid w:val="00F377CF"/>
    <w:rsid w:val="00F37DEC"/>
    <w:rsid w:val="00F412FB"/>
    <w:rsid w:val="00F41AF7"/>
    <w:rsid w:val="00F428A5"/>
    <w:rsid w:val="00F42A44"/>
    <w:rsid w:val="00F42C17"/>
    <w:rsid w:val="00F42EB6"/>
    <w:rsid w:val="00F43865"/>
    <w:rsid w:val="00F4386A"/>
    <w:rsid w:val="00F43894"/>
    <w:rsid w:val="00F43DA4"/>
    <w:rsid w:val="00F445B2"/>
    <w:rsid w:val="00F44A5D"/>
    <w:rsid w:val="00F44AD0"/>
    <w:rsid w:val="00F46953"/>
    <w:rsid w:val="00F46F94"/>
    <w:rsid w:val="00F47B1E"/>
    <w:rsid w:val="00F50DB4"/>
    <w:rsid w:val="00F514B3"/>
    <w:rsid w:val="00F52223"/>
    <w:rsid w:val="00F52F13"/>
    <w:rsid w:val="00F53055"/>
    <w:rsid w:val="00F54725"/>
    <w:rsid w:val="00F54D31"/>
    <w:rsid w:val="00F55EEB"/>
    <w:rsid w:val="00F56023"/>
    <w:rsid w:val="00F57A13"/>
    <w:rsid w:val="00F57ED9"/>
    <w:rsid w:val="00F611CD"/>
    <w:rsid w:val="00F616E9"/>
    <w:rsid w:val="00F61BA9"/>
    <w:rsid w:val="00F624E0"/>
    <w:rsid w:val="00F6482A"/>
    <w:rsid w:val="00F64CCF"/>
    <w:rsid w:val="00F64CE0"/>
    <w:rsid w:val="00F66ADA"/>
    <w:rsid w:val="00F67ADF"/>
    <w:rsid w:val="00F67B1B"/>
    <w:rsid w:val="00F67D1E"/>
    <w:rsid w:val="00F70F19"/>
    <w:rsid w:val="00F71184"/>
    <w:rsid w:val="00F712EC"/>
    <w:rsid w:val="00F72C47"/>
    <w:rsid w:val="00F73374"/>
    <w:rsid w:val="00F73D97"/>
    <w:rsid w:val="00F74049"/>
    <w:rsid w:val="00F7468C"/>
    <w:rsid w:val="00F75198"/>
    <w:rsid w:val="00F7558C"/>
    <w:rsid w:val="00F76C29"/>
    <w:rsid w:val="00F77158"/>
    <w:rsid w:val="00F773E1"/>
    <w:rsid w:val="00F80697"/>
    <w:rsid w:val="00F816AD"/>
    <w:rsid w:val="00F819AB"/>
    <w:rsid w:val="00F81BEF"/>
    <w:rsid w:val="00F8290A"/>
    <w:rsid w:val="00F82A59"/>
    <w:rsid w:val="00F84071"/>
    <w:rsid w:val="00F852E8"/>
    <w:rsid w:val="00F857D6"/>
    <w:rsid w:val="00F86B24"/>
    <w:rsid w:val="00F87020"/>
    <w:rsid w:val="00F8720B"/>
    <w:rsid w:val="00F8758F"/>
    <w:rsid w:val="00F8765F"/>
    <w:rsid w:val="00F90F7E"/>
    <w:rsid w:val="00F912AB"/>
    <w:rsid w:val="00F91D7F"/>
    <w:rsid w:val="00F92064"/>
    <w:rsid w:val="00F924A0"/>
    <w:rsid w:val="00F93196"/>
    <w:rsid w:val="00F93949"/>
    <w:rsid w:val="00F9446E"/>
    <w:rsid w:val="00F952AC"/>
    <w:rsid w:val="00F95C32"/>
    <w:rsid w:val="00F96BAB"/>
    <w:rsid w:val="00F96C11"/>
    <w:rsid w:val="00F97900"/>
    <w:rsid w:val="00F97AC9"/>
    <w:rsid w:val="00F97BEA"/>
    <w:rsid w:val="00FA0329"/>
    <w:rsid w:val="00FA15C6"/>
    <w:rsid w:val="00FA1E85"/>
    <w:rsid w:val="00FA1EDA"/>
    <w:rsid w:val="00FA2907"/>
    <w:rsid w:val="00FA2AF7"/>
    <w:rsid w:val="00FA36A5"/>
    <w:rsid w:val="00FA382F"/>
    <w:rsid w:val="00FA4FEE"/>
    <w:rsid w:val="00FA5E84"/>
    <w:rsid w:val="00FA7149"/>
    <w:rsid w:val="00FA74A1"/>
    <w:rsid w:val="00FA76E1"/>
    <w:rsid w:val="00FA7733"/>
    <w:rsid w:val="00FA7B6D"/>
    <w:rsid w:val="00FB0233"/>
    <w:rsid w:val="00FB1238"/>
    <w:rsid w:val="00FB125C"/>
    <w:rsid w:val="00FB17FD"/>
    <w:rsid w:val="00FB2A1A"/>
    <w:rsid w:val="00FB2A5F"/>
    <w:rsid w:val="00FB2FCD"/>
    <w:rsid w:val="00FB36B2"/>
    <w:rsid w:val="00FB3DA6"/>
    <w:rsid w:val="00FB3E3F"/>
    <w:rsid w:val="00FB40EB"/>
    <w:rsid w:val="00FB4D4F"/>
    <w:rsid w:val="00FB4F85"/>
    <w:rsid w:val="00FB581A"/>
    <w:rsid w:val="00FB66E6"/>
    <w:rsid w:val="00FB66F3"/>
    <w:rsid w:val="00FB6A98"/>
    <w:rsid w:val="00FB6CF0"/>
    <w:rsid w:val="00FB7B9A"/>
    <w:rsid w:val="00FB7C9F"/>
    <w:rsid w:val="00FB7DC0"/>
    <w:rsid w:val="00FC0479"/>
    <w:rsid w:val="00FC05AE"/>
    <w:rsid w:val="00FC150B"/>
    <w:rsid w:val="00FC16BA"/>
    <w:rsid w:val="00FC2818"/>
    <w:rsid w:val="00FC2BDC"/>
    <w:rsid w:val="00FC3078"/>
    <w:rsid w:val="00FC3B6C"/>
    <w:rsid w:val="00FC440A"/>
    <w:rsid w:val="00FC489A"/>
    <w:rsid w:val="00FC55C0"/>
    <w:rsid w:val="00FC5CBC"/>
    <w:rsid w:val="00FC6C9C"/>
    <w:rsid w:val="00FC7458"/>
    <w:rsid w:val="00FC7B36"/>
    <w:rsid w:val="00FD0990"/>
    <w:rsid w:val="00FD09C4"/>
    <w:rsid w:val="00FD12B6"/>
    <w:rsid w:val="00FD1597"/>
    <w:rsid w:val="00FD1AC7"/>
    <w:rsid w:val="00FD1F96"/>
    <w:rsid w:val="00FD2609"/>
    <w:rsid w:val="00FD2D31"/>
    <w:rsid w:val="00FD305C"/>
    <w:rsid w:val="00FD3FF5"/>
    <w:rsid w:val="00FD42E0"/>
    <w:rsid w:val="00FD499C"/>
    <w:rsid w:val="00FD4CB6"/>
    <w:rsid w:val="00FD66A6"/>
    <w:rsid w:val="00FD736B"/>
    <w:rsid w:val="00FD7E59"/>
    <w:rsid w:val="00FE0161"/>
    <w:rsid w:val="00FE064E"/>
    <w:rsid w:val="00FE068A"/>
    <w:rsid w:val="00FE0720"/>
    <w:rsid w:val="00FE0A82"/>
    <w:rsid w:val="00FE0E45"/>
    <w:rsid w:val="00FE0E7C"/>
    <w:rsid w:val="00FE112B"/>
    <w:rsid w:val="00FE1848"/>
    <w:rsid w:val="00FE19ED"/>
    <w:rsid w:val="00FE28B9"/>
    <w:rsid w:val="00FE2926"/>
    <w:rsid w:val="00FE2E84"/>
    <w:rsid w:val="00FE3356"/>
    <w:rsid w:val="00FE3920"/>
    <w:rsid w:val="00FE39DB"/>
    <w:rsid w:val="00FE4221"/>
    <w:rsid w:val="00FE4615"/>
    <w:rsid w:val="00FE4E99"/>
    <w:rsid w:val="00FE572F"/>
    <w:rsid w:val="00FE5CE0"/>
    <w:rsid w:val="00FE6028"/>
    <w:rsid w:val="00FE6151"/>
    <w:rsid w:val="00FE6469"/>
    <w:rsid w:val="00FE708C"/>
    <w:rsid w:val="00FE7D6D"/>
    <w:rsid w:val="00FE7DD5"/>
    <w:rsid w:val="00FF038D"/>
    <w:rsid w:val="00FF045C"/>
    <w:rsid w:val="00FF05A9"/>
    <w:rsid w:val="00FF0A08"/>
    <w:rsid w:val="00FF15C6"/>
    <w:rsid w:val="00FF167A"/>
    <w:rsid w:val="00FF1C3E"/>
    <w:rsid w:val="00FF1D4F"/>
    <w:rsid w:val="00FF222E"/>
    <w:rsid w:val="00FF2AF5"/>
    <w:rsid w:val="00FF3199"/>
    <w:rsid w:val="00FF31D7"/>
    <w:rsid w:val="00FF38EA"/>
    <w:rsid w:val="00FF5226"/>
    <w:rsid w:val="00FF523B"/>
    <w:rsid w:val="00FF53F2"/>
    <w:rsid w:val="00FF552F"/>
    <w:rsid w:val="00FF58F7"/>
    <w:rsid w:val="00FF5F4D"/>
    <w:rsid w:val="00FF6424"/>
    <w:rsid w:val="00FF67E4"/>
    <w:rsid w:val="00FF6957"/>
    <w:rsid w:val="00FF6A3B"/>
    <w:rsid w:val="00FF72EB"/>
    <w:rsid w:val="00FF73A3"/>
    <w:rsid w:val="00FF75E7"/>
    <w:rsid w:val="00FF7E35"/>
    <w:rsid w:val="00FF7F6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73E6D6-CAD5-4FE9-9AB1-163F2EA9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7030A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5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33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31F82"/>
    <w:pPr>
      <w:spacing w:after="100" w:afterAutospacing="1" w:line="240" w:lineRule="auto"/>
      <w:ind w:left="720"/>
      <w:contextualSpacing/>
    </w:pPr>
    <w:rPr>
      <w:rFonts w:ascii="Calibri" w:eastAsia="Calibri" w:hAnsi="Calibri" w:cs="Times New Roman"/>
      <w:color w:val="auto"/>
    </w:rPr>
  </w:style>
  <w:style w:type="paragraph" w:styleId="Header">
    <w:name w:val="header"/>
    <w:basedOn w:val="Normal"/>
    <w:link w:val="HeaderChar"/>
    <w:rsid w:val="000F2A3C"/>
    <w:pPr>
      <w:tabs>
        <w:tab w:val="center" w:pos="4320"/>
        <w:tab w:val="right" w:pos="8640"/>
      </w:tabs>
      <w:spacing w:after="0" w:line="240" w:lineRule="auto"/>
    </w:pPr>
    <w:rPr>
      <w:rFonts w:ascii="Times New Roman" w:eastAsia="Times New Roman" w:hAnsi="Times New Roman" w:cs="Times New Roman"/>
      <w:color w:val="auto"/>
      <w:sz w:val="20"/>
      <w:szCs w:val="20"/>
    </w:rPr>
  </w:style>
  <w:style w:type="character" w:customStyle="1" w:styleId="HeaderChar">
    <w:name w:val="Header Char"/>
    <w:basedOn w:val="DefaultParagraphFont"/>
    <w:link w:val="Header"/>
    <w:rsid w:val="000F2A3C"/>
    <w:rPr>
      <w:rFonts w:ascii="Times New Roman" w:eastAsia="Times New Roman" w:hAnsi="Times New Roman" w:cs="Times New Roman"/>
      <w:color w:val="auto"/>
      <w:sz w:val="20"/>
      <w:szCs w:val="20"/>
    </w:rPr>
  </w:style>
  <w:style w:type="paragraph" w:styleId="Footer">
    <w:name w:val="footer"/>
    <w:basedOn w:val="Normal"/>
    <w:link w:val="FooterChar"/>
    <w:uiPriority w:val="99"/>
    <w:unhideWhenUsed/>
    <w:rsid w:val="003E3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6</Pages>
  <Words>2251</Words>
  <Characters>12834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COA -  National Tobacco Administration</dc:creator>
  <cp:lastModifiedBy>COA</cp:lastModifiedBy>
  <cp:revision>47</cp:revision>
  <cp:lastPrinted>2015-08-19T11:00:00Z</cp:lastPrinted>
  <dcterms:created xsi:type="dcterms:W3CDTF">2015-08-19T04:15:00Z</dcterms:created>
  <dcterms:modified xsi:type="dcterms:W3CDTF">2015-08-26T01:54:00Z</dcterms:modified>
</cp:coreProperties>
</file>