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5A0" w:rsidRPr="008D55A0" w:rsidRDefault="009B6A50" w:rsidP="008D55A0">
      <w:pPr>
        <w:tabs>
          <w:tab w:val="left" w:pos="3240"/>
        </w:tabs>
        <w:ind w:left="1276"/>
        <w:jc w:val="center"/>
        <w:outlineLvl w:val="0"/>
        <w:rPr>
          <w:rFonts w:ascii="Arial" w:hAnsi="Arial" w:cs="Arial"/>
          <w:bCs/>
          <w:kern w:val="36"/>
          <w:sz w:val="22"/>
          <w:szCs w:val="22"/>
          <w:lang w:val="en-PH" w:eastAsia="en-PH"/>
        </w:rPr>
      </w:pPr>
      <w:bookmarkStart w:id="0" w:name="_GoBack"/>
      <w:bookmarkEnd w:id="0"/>
      <w:r>
        <w:rPr>
          <w:rFonts w:ascii="Arial" w:hAnsi="Arial" w:cs="Arial"/>
          <w:b/>
          <w:bCs/>
          <w:noProof/>
          <w:kern w:val="36"/>
          <w:sz w:val="48"/>
          <w:szCs w:val="48"/>
          <w:lang w:val="en-PH" w:eastAsia="en-PH"/>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4.65pt;margin-top:-5.05pt;width:57.75pt;height:54.75pt;z-index:251659264;mso-position-horizontal-relative:page" o:allowincell="f" fillcolor="window">
            <v:imagedata r:id="rId6" o:title=""/>
            <w10:wrap anchorx="page"/>
          </v:shape>
          <o:OLEObject Type="Embed" ProgID="PBrush" ShapeID="_x0000_s1026" DrawAspect="Content" ObjectID="_1623305999" r:id="rId7"/>
        </w:object>
      </w:r>
      <w:r w:rsidR="008D55A0" w:rsidRPr="008D55A0">
        <w:rPr>
          <w:rFonts w:ascii="Arial" w:hAnsi="Arial" w:cs="Arial"/>
          <w:bCs/>
          <w:kern w:val="36"/>
          <w:sz w:val="22"/>
          <w:szCs w:val="22"/>
          <w:lang w:val="en-PH" w:eastAsia="en-PH"/>
        </w:rPr>
        <w:t>REPUBLIC OF THE PHILIPPINES</w:t>
      </w:r>
    </w:p>
    <w:p w:rsidR="008D55A0" w:rsidRPr="008D55A0" w:rsidRDefault="008D55A0" w:rsidP="008D55A0">
      <w:pPr>
        <w:tabs>
          <w:tab w:val="left" w:pos="0"/>
          <w:tab w:val="left" w:pos="3240"/>
        </w:tabs>
        <w:ind w:left="1276"/>
        <w:jc w:val="center"/>
        <w:outlineLvl w:val="0"/>
        <w:rPr>
          <w:rFonts w:ascii="Arial" w:hAnsi="Arial" w:cs="Arial"/>
          <w:b/>
          <w:bCs/>
          <w:kern w:val="36"/>
          <w:sz w:val="22"/>
          <w:szCs w:val="22"/>
          <w:lang w:val="en-PH" w:eastAsia="en-PH"/>
        </w:rPr>
      </w:pPr>
      <w:r w:rsidRPr="008D55A0">
        <w:rPr>
          <w:rFonts w:ascii="Arial" w:eastAsia="Calibri" w:hAnsi="Arial" w:cs="Arial"/>
          <w:b/>
          <w:bCs/>
          <w:sz w:val="24"/>
          <w:szCs w:val="24"/>
        </w:rPr>
        <w:t>COMMISSION ON AUDIT</w:t>
      </w:r>
    </w:p>
    <w:p w:rsidR="008D55A0" w:rsidRPr="008D55A0" w:rsidRDefault="008D55A0" w:rsidP="008D55A0">
      <w:pPr>
        <w:ind w:left="1276"/>
        <w:contextualSpacing/>
        <w:jc w:val="center"/>
        <w:rPr>
          <w:rFonts w:ascii="Arial" w:hAnsi="Arial" w:cs="Arial"/>
          <w:sz w:val="22"/>
        </w:rPr>
      </w:pPr>
      <w:r w:rsidRPr="008D55A0">
        <w:rPr>
          <w:rFonts w:ascii="Arial" w:hAnsi="Arial" w:cs="Arial"/>
          <w:sz w:val="22"/>
        </w:rPr>
        <w:t>Commonwealth Ave</w:t>
      </w:r>
      <w:r>
        <w:rPr>
          <w:rFonts w:ascii="Arial" w:hAnsi="Arial" w:cs="Arial"/>
          <w:sz w:val="22"/>
        </w:rPr>
        <w:t>nue</w:t>
      </w:r>
      <w:r w:rsidRPr="008D55A0">
        <w:rPr>
          <w:rFonts w:ascii="Arial" w:hAnsi="Arial" w:cs="Arial"/>
          <w:sz w:val="22"/>
        </w:rPr>
        <w:t>, Quezon City</w:t>
      </w:r>
      <w:r>
        <w:rPr>
          <w:rFonts w:ascii="Arial" w:hAnsi="Arial" w:cs="Arial"/>
          <w:sz w:val="22"/>
        </w:rPr>
        <w:t>, Philippines</w:t>
      </w:r>
    </w:p>
    <w:p w:rsidR="0085552C" w:rsidRDefault="0085552C" w:rsidP="00C87F98">
      <w:pPr>
        <w:pStyle w:val="NoSpacing"/>
        <w:jc w:val="both"/>
        <w:rPr>
          <w:rFonts w:ascii="Arial" w:hAnsi="Arial" w:cs="Arial"/>
          <w:b/>
        </w:rPr>
      </w:pPr>
    </w:p>
    <w:p w:rsidR="00B25639" w:rsidRDefault="00B25639" w:rsidP="00B25639">
      <w:pPr>
        <w:pStyle w:val="NoSpacing"/>
        <w:rPr>
          <w:rFonts w:ascii="Arial" w:hAnsi="Arial" w:cs="Arial"/>
          <w:b/>
          <w:sz w:val="28"/>
          <w:szCs w:val="28"/>
        </w:rPr>
      </w:pPr>
    </w:p>
    <w:p w:rsidR="003F038D" w:rsidRDefault="003F038D" w:rsidP="00B25639">
      <w:pPr>
        <w:pStyle w:val="NoSpacing"/>
        <w:rPr>
          <w:rFonts w:ascii="Arial" w:hAnsi="Arial" w:cs="Arial"/>
          <w:b/>
          <w:sz w:val="28"/>
          <w:szCs w:val="28"/>
        </w:rPr>
      </w:pPr>
    </w:p>
    <w:p w:rsidR="00C87F98" w:rsidRPr="00474BD1" w:rsidRDefault="00C87F98" w:rsidP="00B25639">
      <w:pPr>
        <w:pStyle w:val="NoSpacing"/>
        <w:jc w:val="center"/>
        <w:rPr>
          <w:rFonts w:ascii="Arial" w:hAnsi="Arial" w:cs="Arial"/>
          <w:b/>
          <w:sz w:val="28"/>
          <w:szCs w:val="28"/>
        </w:rPr>
      </w:pPr>
      <w:r w:rsidRPr="00474BD1">
        <w:rPr>
          <w:rFonts w:ascii="Arial" w:hAnsi="Arial" w:cs="Arial"/>
          <w:b/>
          <w:sz w:val="28"/>
          <w:szCs w:val="28"/>
        </w:rPr>
        <w:t>INDEPENDENT AUDITOR’S REPORT</w:t>
      </w:r>
    </w:p>
    <w:p w:rsidR="00C87F98" w:rsidRDefault="00C87F98" w:rsidP="00C87F98">
      <w:pPr>
        <w:pStyle w:val="NoSpacing"/>
        <w:jc w:val="both"/>
        <w:rPr>
          <w:rFonts w:ascii="Arial" w:hAnsi="Arial" w:cs="Arial"/>
          <w:b/>
        </w:rPr>
      </w:pPr>
    </w:p>
    <w:p w:rsidR="006A55EC" w:rsidRPr="00630487" w:rsidRDefault="006A55EC" w:rsidP="00C87F98">
      <w:pPr>
        <w:pStyle w:val="NoSpacing"/>
        <w:jc w:val="both"/>
        <w:rPr>
          <w:rFonts w:ascii="Arial" w:hAnsi="Arial" w:cs="Arial"/>
          <w:b/>
        </w:rPr>
      </w:pPr>
    </w:p>
    <w:p w:rsidR="00C37E52" w:rsidRPr="00630487" w:rsidRDefault="00C37E52" w:rsidP="00C87F98">
      <w:pPr>
        <w:pStyle w:val="NoSpacing"/>
        <w:jc w:val="both"/>
        <w:rPr>
          <w:rFonts w:ascii="Arial" w:hAnsi="Arial" w:cs="Arial"/>
          <w:b/>
        </w:rPr>
      </w:pPr>
    </w:p>
    <w:p w:rsidR="00C87F98" w:rsidRPr="00630487" w:rsidRDefault="00C87F98" w:rsidP="00C87F98">
      <w:pPr>
        <w:pStyle w:val="NoSpacing"/>
        <w:jc w:val="both"/>
        <w:rPr>
          <w:rFonts w:ascii="Arial" w:hAnsi="Arial" w:cs="Arial"/>
          <w:b/>
        </w:rPr>
      </w:pPr>
      <w:r w:rsidRPr="00630487">
        <w:rPr>
          <w:rFonts w:ascii="Arial" w:hAnsi="Arial" w:cs="Arial"/>
          <w:b/>
        </w:rPr>
        <w:t>THE BOARD OF DIRECTORS</w:t>
      </w:r>
    </w:p>
    <w:p w:rsidR="00C87F98" w:rsidRPr="00630487" w:rsidRDefault="00C87F98" w:rsidP="00C87F98">
      <w:pPr>
        <w:pStyle w:val="NoSpacing"/>
        <w:jc w:val="both"/>
        <w:rPr>
          <w:rFonts w:ascii="Arial" w:hAnsi="Arial" w:cs="Arial"/>
        </w:rPr>
      </w:pPr>
      <w:r w:rsidRPr="00630487">
        <w:rPr>
          <w:rFonts w:ascii="Arial" w:hAnsi="Arial" w:cs="Arial"/>
        </w:rPr>
        <w:t>National Tobacco Administration</w:t>
      </w:r>
    </w:p>
    <w:p w:rsidR="00C87F98" w:rsidRPr="00630487" w:rsidRDefault="00C87F98" w:rsidP="00C87F98">
      <w:pPr>
        <w:pStyle w:val="NoSpacing"/>
        <w:jc w:val="both"/>
        <w:rPr>
          <w:rFonts w:ascii="Arial" w:hAnsi="Arial" w:cs="Arial"/>
        </w:rPr>
      </w:pPr>
      <w:r w:rsidRPr="00630487">
        <w:rPr>
          <w:rFonts w:ascii="Arial" w:hAnsi="Arial" w:cs="Arial"/>
        </w:rPr>
        <w:t>Scout Reyes corner Panay Avenue</w:t>
      </w:r>
    </w:p>
    <w:p w:rsidR="00C87F98" w:rsidRPr="00630487" w:rsidRDefault="00C87F98" w:rsidP="00C87F98">
      <w:pPr>
        <w:pStyle w:val="NoSpacing"/>
        <w:jc w:val="both"/>
        <w:rPr>
          <w:rFonts w:ascii="Arial" w:hAnsi="Arial" w:cs="Arial"/>
        </w:rPr>
      </w:pPr>
      <w:r w:rsidRPr="00630487">
        <w:rPr>
          <w:rFonts w:ascii="Arial" w:hAnsi="Arial" w:cs="Arial"/>
        </w:rPr>
        <w:t>Quezon City</w:t>
      </w:r>
    </w:p>
    <w:p w:rsidR="009A11E1" w:rsidRDefault="009A11E1" w:rsidP="00C87F98">
      <w:pPr>
        <w:pStyle w:val="NoSpacing"/>
        <w:jc w:val="both"/>
        <w:rPr>
          <w:rFonts w:ascii="Arial" w:hAnsi="Arial" w:cs="Arial"/>
        </w:rPr>
      </w:pPr>
    </w:p>
    <w:p w:rsidR="006A55EC" w:rsidRDefault="006A55EC" w:rsidP="00C87F98">
      <w:pPr>
        <w:pStyle w:val="NoSpacing"/>
        <w:jc w:val="both"/>
        <w:rPr>
          <w:rFonts w:ascii="Arial" w:hAnsi="Arial" w:cs="Arial"/>
        </w:rPr>
      </w:pPr>
    </w:p>
    <w:p w:rsidR="00C87F98" w:rsidRPr="00630487" w:rsidRDefault="009A11E1" w:rsidP="00C87F98">
      <w:pPr>
        <w:pStyle w:val="NoSpacing"/>
        <w:jc w:val="both"/>
        <w:rPr>
          <w:rFonts w:ascii="Arial" w:hAnsi="Arial" w:cs="Arial"/>
          <w:b/>
        </w:rPr>
      </w:pPr>
      <w:r w:rsidRPr="00630487">
        <w:rPr>
          <w:rFonts w:ascii="Arial" w:hAnsi="Arial" w:cs="Arial"/>
          <w:b/>
        </w:rPr>
        <w:t>Report on the Audit of the Financial Statements</w:t>
      </w:r>
    </w:p>
    <w:p w:rsidR="009A11E1" w:rsidRPr="00630487" w:rsidRDefault="009A11E1" w:rsidP="00C87F98">
      <w:pPr>
        <w:pStyle w:val="NoSpacing"/>
        <w:jc w:val="both"/>
        <w:rPr>
          <w:rFonts w:ascii="Arial" w:hAnsi="Arial" w:cs="Arial"/>
        </w:rPr>
      </w:pPr>
    </w:p>
    <w:p w:rsidR="00C87F98" w:rsidRPr="00630487" w:rsidRDefault="00C87F98" w:rsidP="00C87F98">
      <w:pPr>
        <w:pStyle w:val="NoSpacing"/>
        <w:jc w:val="both"/>
        <w:rPr>
          <w:rFonts w:ascii="Arial" w:hAnsi="Arial" w:cs="Arial"/>
          <w:b/>
        </w:rPr>
      </w:pPr>
      <w:r w:rsidRPr="00630487">
        <w:rPr>
          <w:rFonts w:ascii="Arial" w:hAnsi="Arial" w:cs="Arial"/>
          <w:b/>
        </w:rPr>
        <w:t>Opinion</w:t>
      </w:r>
    </w:p>
    <w:p w:rsidR="009C5A52" w:rsidRPr="003D15AA" w:rsidRDefault="009C5A52" w:rsidP="00C87F98">
      <w:pPr>
        <w:pStyle w:val="NoSpacing"/>
        <w:jc w:val="both"/>
        <w:rPr>
          <w:rFonts w:ascii="Arial" w:hAnsi="Arial" w:cs="Arial"/>
        </w:rPr>
      </w:pPr>
    </w:p>
    <w:p w:rsidR="0046158D" w:rsidRPr="0016602F" w:rsidRDefault="0046158D" w:rsidP="0046158D">
      <w:pPr>
        <w:jc w:val="both"/>
        <w:rPr>
          <w:rFonts w:ascii="Arial" w:hAnsi="Arial"/>
          <w:color w:val="000000" w:themeColor="text1"/>
          <w:sz w:val="22"/>
        </w:rPr>
      </w:pPr>
      <w:r w:rsidRPr="003D15AA">
        <w:rPr>
          <w:rFonts w:ascii="Arial" w:hAnsi="Arial"/>
          <w:color w:val="000000" w:themeColor="text1"/>
          <w:sz w:val="22"/>
        </w:rPr>
        <w:t>We have audited the financial statements of the National Tobacco Administration (NTA), which comprise the statement</w:t>
      </w:r>
      <w:r w:rsidR="003D15AA" w:rsidRPr="003D15AA">
        <w:rPr>
          <w:rFonts w:ascii="Arial" w:hAnsi="Arial"/>
          <w:color w:val="000000" w:themeColor="text1"/>
          <w:sz w:val="22"/>
        </w:rPr>
        <w:t>s</w:t>
      </w:r>
      <w:r w:rsidRPr="003D15AA">
        <w:rPr>
          <w:rFonts w:ascii="Arial" w:hAnsi="Arial"/>
          <w:color w:val="000000" w:themeColor="text1"/>
          <w:sz w:val="22"/>
        </w:rPr>
        <w:t xml:space="preserve"> of financial </w:t>
      </w:r>
      <w:r w:rsidRPr="0016602F">
        <w:rPr>
          <w:rFonts w:ascii="Arial" w:hAnsi="Arial"/>
          <w:color w:val="000000" w:themeColor="text1"/>
          <w:sz w:val="22"/>
        </w:rPr>
        <w:t>position as at December 31, 201</w:t>
      </w:r>
      <w:r w:rsidR="00751035">
        <w:rPr>
          <w:rFonts w:ascii="Arial" w:hAnsi="Arial"/>
          <w:color w:val="000000" w:themeColor="text1"/>
          <w:sz w:val="22"/>
        </w:rPr>
        <w:t>8</w:t>
      </w:r>
      <w:r w:rsidRPr="0016602F">
        <w:rPr>
          <w:rFonts w:ascii="Arial" w:hAnsi="Arial"/>
          <w:color w:val="000000" w:themeColor="text1"/>
          <w:sz w:val="22"/>
        </w:rPr>
        <w:t xml:space="preserve"> </w:t>
      </w:r>
      <w:r w:rsidR="003D15AA">
        <w:rPr>
          <w:rFonts w:ascii="Arial" w:hAnsi="Arial"/>
          <w:color w:val="000000" w:themeColor="text1"/>
          <w:sz w:val="22"/>
        </w:rPr>
        <w:t xml:space="preserve">and 2017, </w:t>
      </w:r>
      <w:r w:rsidRPr="0016602F">
        <w:rPr>
          <w:rFonts w:ascii="Arial" w:hAnsi="Arial"/>
          <w:color w:val="000000" w:themeColor="text1"/>
          <w:sz w:val="22"/>
        </w:rPr>
        <w:t>and the statement</w:t>
      </w:r>
      <w:r w:rsidR="003D15AA">
        <w:rPr>
          <w:rFonts w:ascii="Arial" w:hAnsi="Arial"/>
          <w:color w:val="000000" w:themeColor="text1"/>
          <w:sz w:val="22"/>
        </w:rPr>
        <w:t>s</w:t>
      </w:r>
      <w:r w:rsidRPr="0016602F">
        <w:rPr>
          <w:rFonts w:ascii="Arial" w:hAnsi="Arial"/>
          <w:color w:val="000000" w:themeColor="text1"/>
          <w:sz w:val="22"/>
        </w:rPr>
        <w:t xml:space="preserve"> of financial performance, statement</w:t>
      </w:r>
      <w:r w:rsidR="003D15AA">
        <w:rPr>
          <w:rFonts w:ascii="Arial" w:hAnsi="Arial"/>
          <w:color w:val="000000" w:themeColor="text1"/>
          <w:sz w:val="22"/>
        </w:rPr>
        <w:t>s</w:t>
      </w:r>
      <w:r w:rsidRPr="0016602F">
        <w:rPr>
          <w:rFonts w:ascii="Arial" w:hAnsi="Arial"/>
          <w:color w:val="000000" w:themeColor="text1"/>
          <w:sz w:val="22"/>
        </w:rPr>
        <w:t xml:space="preserve"> of changes in net assets/equity, </w:t>
      </w:r>
      <w:r w:rsidR="003D15AA">
        <w:rPr>
          <w:rFonts w:ascii="Arial" w:hAnsi="Arial"/>
          <w:color w:val="000000" w:themeColor="text1"/>
          <w:sz w:val="22"/>
        </w:rPr>
        <w:t xml:space="preserve">and </w:t>
      </w:r>
      <w:r w:rsidRPr="0016602F">
        <w:rPr>
          <w:rFonts w:ascii="Arial" w:hAnsi="Arial"/>
          <w:color w:val="000000" w:themeColor="text1"/>
          <w:sz w:val="22"/>
        </w:rPr>
        <w:t>statement</w:t>
      </w:r>
      <w:r w:rsidR="003D15AA">
        <w:rPr>
          <w:rFonts w:ascii="Arial" w:hAnsi="Arial"/>
          <w:color w:val="000000" w:themeColor="text1"/>
          <w:sz w:val="22"/>
        </w:rPr>
        <w:t>s</w:t>
      </w:r>
      <w:r w:rsidRPr="0016602F">
        <w:rPr>
          <w:rFonts w:ascii="Arial" w:hAnsi="Arial"/>
          <w:color w:val="000000" w:themeColor="text1"/>
          <w:sz w:val="22"/>
        </w:rPr>
        <w:t xml:space="preserve"> of cash flows</w:t>
      </w:r>
      <w:r w:rsidR="003D15AA">
        <w:rPr>
          <w:rFonts w:ascii="Arial" w:hAnsi="Arial"/>
          <w:color w:val="000000" w:themeColor="text1"/>
          <w:sz w:val="22"/>
        </w:rPr>
        <w:t xml:space="preserve"> for the years then ended,</w:t>
      </w:r>
      <w:r w:rsidRPr="0016602F">
        <w:rPr>
          <w:rFonts w:ascii="Arial" w:hAnsi="Arial"/>
          <w:color w:val="000000" w:themeColor="text1"/>
          <w:sz w:val="22"/>
        </w:rPr>
        <w:t xml:space="preserve"> statement of comparison of budget and actual amounts for the year </w:t>
      </w:r>
      <w:r w:rsidR="003D1779">
        <w:rPr>
          <w:rFonts w:ascii="Arial" w:hAnsi="Arial"/>
          <w:color w:val="000000" w:themeColor="text1"/>
          <w:sz w:val="22"/>
        </w:rPr>
        <w:t>e</w:t>
      </w:r>
      <w:r w:rsidRPr="0016602F">
        <w:rPr>
          <w:rFonts w:ascii="Arial" w:hAnsi="Arial"/>
          <w:color w:val="000000" w:themeColor="text1"/>
          <w:sz w:val="22"/>
        </w:rPr>
        <w:t>nded</w:t>
      </w:r>
      <w:r w:rsidR="003D15AA">
        <w:rPr>
          <w:rFonts w:ascii="Arial" w:hAnsi="Arial"/>
          <w:color w:val="000000" w:themeColor="text1"/>
          <w:sz w:val="22"/>
        </w:rPr>
        <w:t xml:space="preserve"> December 31, 2018</w:t>
      </w:r>
      <w:r w:rsidRPr="0016602F">
        <w:rPr>
          <w:rFonts w:ascii="Arial" w:hAnsi="Arial"/>
          <w:color w:val="000000" w:themeColor="text1"/>
          <w:sz w:val="22"/>
        </w:rPr>
        <w:t xml:space="preserve">, </w:t>
      </w:r>
      <w:r w:rsidRPr="0016602F">
        <w:rPr>
          <w:rFonts w:ascii="Arial" w:hAnsi="Arial" w:cs="Arial"/>
          <w:color w:val="000000" w:themeColor="text1"/>
          <w:sz w:val="22"/>
          <w:szCs w:val="22"/>
        </w:rPr>
        <w:t>and notes to financial statements, including a summary of significant accounting policies.</w:t>
      </w:r>
    </w:p>
    <w:p w:rsidR="0046158D" w:rsidRPr="0016602F" w:rsidRDefault="0046158D" w:rsidP="0046158D">
      <w:pPr>
        <w:jc w:val="both"/>
        <w:rPr>
          <w:rFonts w:ascii="Arial" w:hAnsi="Arial" w:cs="Arial"/>
          <w:color w:val="000000" w:themeColor="text1"/>
          <w:sz w:val="22"/>
          <w:szCs w:val="22"/>
        </w:rPr>
      </w:pPr>
    </w:p>
    <w:p w:rsidR="0046158D" w:rsidRPr="006D55A0" w:rsidRDefault="0046158D" w:rsidP="0046158D">
      <w:pPr>
        <w:jc w:val="both"/>
        <w:rPr>
          <w:rFonts w:ascii="Arial" w:hAnsi="Arial" w:cs="Arial"/>
          <w:color w:val="000000" w:themeColor="text1"/>
          <w:sz w:val="22"/>
          <w:szCs w:val="22"/>
        </w:rPr>
      </w:pPr>
      <w:r w:rsidRPr="006D55A0">
        <w:rPr>
          <w:rFonts w:ascii="Arial" w:hAnsi="Arial" w:cs="Arial"/>
          <w:color w:val="000000" w:themeColor="text1"/>
          <w:sz w:val="22"/>
          <w:szCs w:val="22"/>
        </w:rPr>
        <w:t>In our opinion, except for th</w:t>
      </w:r>
      <w:r w:rsidR="003D15AA">
        <w:rPr>
          <w:rFonts w:ascii="Arial" w:hAnsi="Arial" w:cs="Arial"/>
          <w:color w:val="000000" w:themeColor="text1"/>
          <w:sz w:val="22"/>
          <w:szCs w:val="22"/>
        </w:rPr>
        <w:t xml:space="preserve">e </w:t>
      </w:r>
      <w:r w:rsidRPr="006D55A0">
        <w:rPr>
          <w:rFonts w:ascii="Arial" w:hAnsi="Arial" w:cs="Arial"/>
          <w:color w:val="000000" w:themeColor="text1"/>
          <w:sz w:val="22"/>
          <w:szCs w:val="22"/>
        </w:rPr>
        <w:t xml:space="preserve">possible effects of the matters described in the Basis for Qualified Opinion section of our report, the </w:t>
      </w:r>
      <w:r w:rsidR="003D15AA">
        <w:rPr>
          <w:rFonts w:ascii="Arial" w:hAnsi="Arial" w:cs="Arial"/>
          <w:color w:val="000000" w:themeColor="text1"/>
          <w:sz w:val="22"/>
          <w:szCs w:val="22"/>
        </w:rPr>
        <w:t xml:space="preserve">accompanying </w:t>
      </w:r>
      <w:r w:rsidRPr="006D55A0">
        <w:rPr>
          <w:rFonts w:ascii="Arial" w:hAnsi="Arial" w:cs="Arial"/>
          <w:color w:val="000000" w:themeColor="text1"/>
          <w:sz w:val="22"/>
          <w:szCs w:val="22"/>
        </w:rPr>
        <w:t xml:space="preserve">financial statements present fairly, in all material respects, the financial position of </w:t>
      </w:r>
      <w:r w:rsidRPr="00204379">
        <w:rPr>
          <w:rFonts w:ascii="Arial" w:hAnsi="Arial" w:cs="Arial"/>
          <w:color w:val="000000" w:themeColor="text1"/>
          <w:sz w:val="22"/>
          <w:szCs w:val="22"/>
        </w:rPr>
        <w:t>NTA</w:t>
      </w:r>
      <w:r w:rsidRPr="006D55A0">
        <w:rPr>
          <w:rFonts w:ascii="Arial" w:hAnsi="Arial" w:cs="Arial"/>
          <w:color w:val="000000" w:themeColor="text1"/>
          <w:sz w:val="22"/>
          <w:szCs w:val="22"/>
        </w:rPr>
        <w:t xml:space="preserve"> as at December 31, 201</w:t>
      </w:r>
      <w:r w:rsidR="00751035">
        <w:rPr>
          <w:rFonts w:ascii="Arial" w:hAnsi="Arial" w:cs="Arial"/>
          <w:color w:val="000000" w:themeColor="text1"/>
          <w:sz w:val="22"/>
          <w:szCs w:val="22"/>
        </w:rPr>
        <w:t>8</w:t>
      </w:r>
      <w:r w:rsidR="003D15AA">
        <w:rPr>
          <w:rFonts w:ascii="Arial" w:hAnsi="Arial" w:cs="Arial"/>
          <w:color w:val="000000" w:themeColor="text1"/>
          <w:sz w:val="22"/>
          <w:szCs w:val="22"/>
        </w:rPr>
        <w:t xml:space="preserve"> and 2017</w:t>
      </w:r>
      <w:r w:rsidRPr="006D55A0">
        <w:rPr>
          <w:rFonts w:ascii="Arial" w:hAnsi="Arial" w:cs="Arial"/>
          <w:color w:val="000000" w:themeColor="text1"/>
          <w:sz w:val="22"/>
          <w:szCs w:val="22"/>
        </w:rPr>
        <w:t>, and of its financial performance and its cash flows for the year</w:t>
      </w:r>
      <w:r w:rsidR="003D15AA">
        <w:rPr>
          <w:rFonts w:ascii="Arial" w:hAnsi="Arial" w:cs="Arial"/>
          <w:color w:val="000000" w:themeColor="text1"/>
          <w:sz w:val="22"/>
          <w:szCs w:val="22"/>
        </w:rPr>
        <w:t>s</w:t>
      </w:r>
      <w:r w:rsidRPr="006D55A0">
        <w:rPr>
          <w:rFonts w:ascii="Arial" w:hAnsi="Arial" w:cs="Arial"/>
          <w:color w:val="000000" w:themeColor="text1"/>
          <w:sz w:val="22"/>
          <w:szCs w:val="22"/>
        </w:rPr>
        <w:t xml:space="preserve"> then ended in accordance with Philippine Public Sector Accounting Standards (PPSAS).</w:t>
      </w:r>
    </w:p>
    <w:p w:rsidR="0046158D" w:rsidRPr="00630487" w:rsidRDefault="0046158D" w:rsidP="00C87F98">
      <w:pPr>
        <w:pStyle w:val="NoSpacing"/>
        <w:jc w:val="both"/>
        <w:rPr>
          <w:rFonts w:ascii="Arial" w:hAnsi="Arial" w:cs="Arial"/>
        </w:rPr>
      </w:pPr>
    </w:p>
    <w:p w:rsidR="00C87F98" w:rsidRPr="00630487" w:rsidRDefault="00C87F98" w:rsidP="00C87F98">
      <w:pPr>
        <w:pStyle w:val="NoSpacing"/>
        <w:jc w:val="both"/>
        <w:rPr>
          <w:rFonts w:ascii="Arial" w:hAnsi="Arial" w:cs="Arial"/>
          <w:b/>
        </w:rPr>
      </w:pPr>
      <w:r w:rsidRPr="00630487">
        <w:rPr>
          <w:rFonts w:ascii="Arial" w:hAnsi="Arial" w:cs="Arial"/>
          <w:b/>
        </w:rPr>
        <w:t>Basis for Qualified Opinion</w:t>
      </w:r>
    </w:p>
    <w:p w:rsidR="00C87F98" w:rsidRDefault="00C87F98" w:rsidP="00C87F98">
      <w:pPr>
        <w:pStyle w:val="NoSpacing"/>
        <w:jc w:val="both"/>
        <w:rPr>
          <w:rFonts w:ascii="Arial" w:hAnsi="Arial" w:cs="Arial"/>
          <w:b/>
        </w:rPr>
      </w:pPr>
    </w:p>
    <w:p w:rsidR="00BC673D" w:rsidRDefault="00624896" w:rsidP="00BC673D">
      <w:pPr>
        <w:pStyle w:val="NoSpacing"/>
        <w:jc w:val="both"/>
        <w:rPr>
          <w:rFonts w:ascii="Arial" w:hAnsi="Arial" w:cs="Arial"/>
        </w:rPr>
      </w:pPr>
      <w:r w:rsidRPr="00624896">
        <w:rPr>
          <w:rFonts w:ascii="Arial" w:hAnsi="Arial" w:cs="Arial"/>
        </w:rPr>
        <w:t>The net amount of Receivables and Other Current and Non-Current Assets accounts were overstated and the Allowance for Impairment Losses was understated by an aggregate amount of P130.495 million and P1</w:t>
      </w:r>
      <w:r w:rsidR="00AB70C8">
        <w:rPr>
          <w:rFonts w:ascii="Arial" w:hAnsi="Arial" w:cs="Arial"/>
        </w:rPr>
        <w:t>37.119</w:t>
      </w:r>
      <w:r w:rsidRPr="00624896">
        <w:rPr>
          <w:rFonts w:ascii="Arial" w:hAnsi="Arial" w:cs="Arial"/>
        </w:rPr>
        <w:t xml:space="preserve"> million as of December 31, 2018 and 2017, respectively, contrary to NTA's policy on</w:t>
      </w:r>
      <w:r w:rsidR="00AB70C8">
        <w:rPr>
          <w:rFonts w:ascii="Arial" w:hAnsi="Arial" w:cs="Arial"/>
        </w:rPr>
        <w:t xml:space="preserve"> the</w:t>
      </w:r>
      <w:r w:rsidRPr="00624896">
        <w:rPr>
          <w:rFonts w:ascii="Arial" w:hAnsi="Arial" w:cs="Arial"/>
        </w:rPr>
        <w:t xml:space="preserve"> measurement and revaluation of Receivables.  The reliability and recoverability of dormant asset accounts aggregating P381.425 million</w:t>
      </w:r>
      <w:r w:rsidR="00AB70C8">
        <w:rPr>
          <w:rFonts w:ascii="Arial" w:hAnsi="Arial" w:cs="Arial"/>
        </w:rPr>
        <w:t>,</w:t>
      </w:r>
      <w:r w:rsidRPr="00624896">
        <w:rPr>
          <w:rFonts w:ascii="Arial" w:hAnsi="Arial" w:cs="Arial"/>
        </w:rPr>
        <w:t xml:space="preserve"> representing 32.23 per cent of the total asset balance of P1.183 billion as at December 31, 2018 are uncertain due to:  (a) undocumented balances carried over from seven defunct tobacco agencies in 1987; (b) outstanding receivables from farmers/traders/cooperatives since 1996; (c) unrecovered investment in bonds with certification from the Securit</w:t>
      </w:r>
      <w:r w:rsidR="00B91C0F">
        <w:rPr>
          <w:rFonts w:ascii="Arial" w:hAnsi="Arial" w:cs="Arial"/>
        </w:rPr>
        <w:t>ies</w:t>
      </w:r>
      <w:r w:rsidRPr="00624896">
        <w:rPr>
          <w:rFonts w:ascii="Arial" w:hAnsi="Arial" w:cs="Arial"/>
        </w:rPr>
        <w:t xml:space="preserve"> and Exchange Commission that the authority of the traders of the bonds were already revoked; and (d) receivables from officers and employees no longer in the service.  Thus, the fair view of the presentation of the assets in the financial statements is adversely affected.</w:t>
      </w:r>
    </w:p>
    <w:p w:rsidR="00624896" w:rsidRDefault="00624896" w:rsidP="00BC673D">
      <w:pPr>
        <w:pStyle w:val="NoSpacing"/>
        <w:jc w:val="both"/>
        <w:rPr>
          <w:rFonts w:ascii="Arial" w:hAnsi="Arial" w:cs="Arial"/>
        </w:rPr>
      </w:pPr>
    </w:p>
    <w:p w:rsidR="00B064DF" w:rsidRDefault="00B064DF" w:rsidP="00BC673D">
      <w:pPr>
        <w:pStyle w:val="NoSpacing"/>
        <w:jc w:val="both"/>
        <w:rPr>
          <w:rFonts w:ascii="Arial" w:hAnsi="Arial" w:cs="Arial"/>
        </w:rPr>
      </w:pPr>
    </w:p>
    <w:p w:rsidR="00B064DF" w:rsidRPr="00BC673D" w:rsidRDefault="00B064DF" w:rsidP="00BC673D">
      <w:pPr>
        <w:pStyle w:val="NoSpacing"/>
        <w:jc w:val="both"/>
        <w:rPr>
          <w:rFonts w:ascii="Arial" w:hAnsi="Arial" w:cs="Arial"/>
        </w:rPr>
      </w:pPr>
    </w:p>
    <w:p w:rsidR="00BC673D" w:rsidRPr="00BC673D" w:rsidRDefault="00BC673D" w:rsidP="00BC673D">
      <w:pPr>
        <w:pStyle w:val="NoSpacing"/>
        <w:jc w:val="both"/>
        <w:rPr>
          <w:rFonts w:ascii="Arial" w:hAnsi="Arial" w:cs="Arial"/>
        </w:rPr>
      </w:pPr>
      <w:r>
        <w:rPr>
          <w:rFonts w:ascii="Arial" w:hAnsi="Arial" w:cs="Arial"/>
        </w:rPr>
        <w:t>Moreover, t</w:t>
      </w:r>
      <w:r w:rsidRPr="00BC673D">
        <w:rPr>
          <w:rFonts w:ascii="Arial" w:hAnsi="Arial" w:cs="Arial"/>
        </w:rPr>
        <w:t xml:space="preserve">he Property, Plant and Equipment (PPE) is presented in the Statement of Financial Position at carrying amount of P477.918 million as at December 31, 2018. </w:t>
      </w:r>
      <w:bookmarkStart w:id="1" w:name="_Hlk11351338"/>
      <w:r w:rsidRPr="00BC673D">
        <w:rPr>
          <w:rFonts w:ascii="Arial" w:hAnsi="Arial" w:cs="Arial"/>
        </w:rPr>
        <w:t xml:space="preserve">However, </w:t>
      </w:r>
      <w:r w:rsidR="00624896">
        <w:rPr>
          <w:rFonts w:ascii="Arial" w:hAnsi="Arial" w:cs="Arial"/>
        </w:rPr>
        <w:t>the L</w:t>
      </w:r>
      <w:r w:rsidR="00624896" w:rsidRPr="00624896">
        <w:rPr>
          <w:rFonts w:ascii="Arial" w:hAnsi="Arial" w:cs="Arial"/>
        </w:rPr>
        <w:t xml:space="preserve">and account balance of P101.315 million per accounting records differed by P155.516 million from the property records.  The cost of the land derecognized from the books for the property sold was overstated by P1.129 million, thus, understating the Land account by the same amount. </w:t>
      </w:r>
      <w:bookmarkEnd w:id="1"/>
      <w:r w:rsidR="00624896" w:rsidRPr="00624896">
        <w:rPr>
          <w:rFonts w:ascii="Arial" w:hAnsi="Arial" w:cs="Arial"/>
        </w:rPr>
        <w:t xml:space="preserve"> </w:t>
      </w:r>
      <w:r w:rsidRPr="00BC673D">
        <w:rPr>
          <w:rFonts w:ascii="Arial" w:hAnsi="Arial" w:cs="Arial"/>
        </w:rPr>
        <w:t>Furthermore, the remaining balance of P376.603 million of PPE account, excluding Land, is not reliable due to: (a) discrepancy of P34.170 million between</w:t>
      </w:r>
      <w:r w:rsidR="00AB70C8">
        <w:rPr>
          <w:rFonts w:ascii="Arial" w:hAnsi="Arial" w:cs="Arial"/>
        </w:rPr>
        <w:t xml:space="preserve"> the</w:t>
      </w:r>
      <w:r w:rsidRPr="00BC673D">
        <w:rPr>
          <w:rFonts w:ascii="Arial" w:hAnsi="Arial" w:cs="Arial"/>
        </w:rPr>
        <w:t xml:space="preserve"> accounting and property records of NTA Head Office (HO); (b) recognition and depreciation of PPE that are not in accordance with paragraphs 14, 19 and 71 of </w:t>
      </w:r>
      <w:r w:rsidR="00624896">
        <w:rPr>
          <w:rFonts w:ascii="Arial" w:hAnsi="Arial" w:cs="Arial"/>
        </w:rPr>
        <w:t>PPSAS</w:t>
      </w:r>
      <w:r w:rsidRPr="00BC673D">
        <w:rPr>
          <w:rFonts w:ascii="Arial" w:hAnsi="Arial" w:cs="Arial"/>
        </w:rPr>
        <w:t xml:space="preserve"> 17; and (c) inclusion of properties sold thru public auction and semi-expendable items in the PPE account of NTA Isabela Branch.</w:t>
      </w:r>
    </w:p>
    <w:p w:rsidR="00BC673D" w:rsidRPr="00BC673D" w:rsidRDefault="00BC673D" w:rsidP="00BC673D">
      <w:pPr>
        <w:pStyle w:val="NoSpacing"/>
        <w:jc w:val="both"/>
        <w:rPr>
          <w:rFonts w:ascii="Arial" w:hAnsi="Arial" w:cs="Arial"/>
        </w:rPr>
      </w:pPr>
    </w:p>
    <w:p w:rsidR="00BC673D" w:rsidRDefault="00BC673D" w:rsidP="00BC673D">
      <w:pPr>
        <w:pStyle w:val="NoSpacing"/>
        <w:jc w:val="both"/>
        <w:rPr>
          <w:rFonts w:ascii="Arial" w:hAnsi="Arial" w:cs="Arial"/>
        </w:rPr>
      </w:pPr>
      <w:r>
        <w:rPr>
          <w:rFonts w:ascii="Arial" w:hAnsi="Arial" w:cs="Arial"/>
        </w:rPr>
        <w:t xml:space="preserve">Lastly, </w:t>
      </w:r>
      <w:r w:rsidR="00AB70C8">
        <w:rPr>
          <w:rFonts w:ascii="Arial" w:hAnsi="Arial" w:cs="Arial"/>
        </w:rPr>
        <w:t xml:space="preserve">the </w:t>
      </w:r>
      <w:r>
        <w:rPr>
          <w:rFonts w:ascii="Arial" w:hAnsi="Arial" w:cs="Arial"/>
        </w:rPr>
        <w:t>p</w:t>
      </w:r>
      <w:r w:rsidRPr="00BC673D">
        <w:rPr>
          <w:rFonts w:ascii="Arial" w:hAnsi="Arial" w:cs="Arial"/>
        </w:rPr>
        <w:t xml:space="preserve">rovision for the money value of the earned leave credits of NTA officials and employees for CY 2018 and prior years was not recognized in the books as required in </w:t>
      </w:r>
      <w:r w:rsidR="00624896">
        <w:rPr>
          <w:rFonts w:ascii="Arial" w:hAnsi="Arial" w:cs="Arial"/>
        </w:rPr>
        <w:t>PPSAS</w:t>
      </w:r>
      <w:r w:rsidRPr="00BC673D">
        <w:rPr>
          <w:rFonts w:ascii="Arial" w:hAnsi="Arial" w:cs="Arial"/>
        </w:rPr>
        <w:t xml:space="preserve"> 19</w:t>
      </w:r>
      <w:r w:rsidR="00AB70C8">
        <w:rPr>
          <w:rFonts w:ascii="Arial" w:hAnsi="Arial" w:cs="Arial"/>
        </w:rPr>
        <w:t>.</w:t>
      </w:r>
      <w:r w:rsidRPr="00BC673D">
        <w:rPr>
          <w:rFonts w:ascii="Arial" w:hAnsi="Arial" w:cs="Arial"/>
        </w:rPr>
        <w:t xml:space="preserve">  </w:t>
      </w:r>
      <w:r w:rsidR="00AB70C8">
        <w:rPr>
          <w:rFonts w:ascii="Arial" w:hAnsi="Arial" w:cs="Arial"/>
        </w:rPr>
        <w:t>T</w:t>
      </w:r>
      <w:r w:rsidRPr="00BC673D">
        <w:rPr>
          <w:rFonts w:ascii="Arial" w:hAnsi="Arial" w:cs="Arial"/>
        </w:rPr>
        <w:t xml:space="preserve">hus, the liabilities, accumulated surplus/(deficit) and expenses presented in the financial statements do not faithfully represent the obligation of NTA </w:t>
      </w:r>
      <w:r w:rsidR="00AB70C8">
        <w:rPr>
          <w:rFonts w:ascii="Arial" w:hAnsi="Arial" w:cs="Arial"/>
        </w:rPr>
        <w:t>for the</w:t>
      </w:r>
      <w:r w:rsidRPr="00BC673D">
        <w:rPr>
          <w:rFonts w:ascii="Arial" w:hAnsi="Arial" w:cs="Arial"/>
        </w:rPr>
        <w:t xml:space="preserve"> leave benefits of its officials and employees amounting P126.540 million and P107.518 million as at December 31 of 2018 and 2017, respectively, and the expense incurred in CY 2018 of P19.021 million.</w:t>
      </w:r>
    </w:p>
    <w:p w:rsidR="003D15AA" w:rsidRDefault="003D15AA" w:rsidP="002D3A4C">
      <w:pPr>
        <w:pStyle w:val="ListParagraph"/>
        <w:spacing w:after="0" w:line="240" w:lineRule="auto"/>
        <w:ind w:left="0"/>
        <w:jc w:val="both"/>
        <w:rPr>
          <w:rFonts w:ascii="Arial" w:hAnsi="Arial" w:cs="Arial"/>
          <w:color w:val="000000"/>
        </w:rPr>
      </w:pPr>
    </w:p>
    <w:p w:rsidR="004D3996" w:rsidRDefault="004D3996" w:rsidP="004D3996">
      <w:pPr>
        <w:pStyle w:val="ListParagraph"/>
        <w:spacing w:after="0" w:line="240" w:lineRule="auto"/>
        <w:ind w:left="0"/>
        <w:jc w:val="both"/>
        <w:rPr>
          <w:rFonts w:ascii="Arial" w:hAnsi="Arial" w:cs="Arial"/>
          <w:color w:val="000000"/>
        </w:rPr>
      </w:pPr>
      <w:r>
        <w:rPr>
          <w:rFonts w:ascii="Arial" w:hAnsi="Arial" w:cs="Arial"/>
          <w:color w:val="000000"/>
        </w:rPr>
        <w:t>We were unable to obtain sufficient appropriate audit evidence about the balances of the abovementioned accounts due to inadequacy of the accounting and property records.  Consequently, we were unable to determine whether any adjustments to these amounts were necessary.</w:t>
      </w:r>
    </w:p>
    <w:p w:rsidR="004D3996" w:rsidRDefault="004D3996" w:rsidP="00474BD1">
      <w:pPr>
        <w:jc w:val="both"/>
        <w:rPr>
          <w:rFonts w:ascii="Arial" w:hAnsi="Arial" w:cs="Arial"/>
          <w:color w:val="000000" w:themeColor="text1"/>
          <w:sz w:val="22"/>
          <w:szCs w:val="22"/>
        </w:rPr>
      </w:pPr>
    </w:p>
    <w:p w:rsidR="00474BD1" w:rsidRPr="0016602F" w:rsidRDefault="00474BD1" w:rsidP="00474BD1">
      <w:pPr>
        <w:jc w:val="both"/>
        <w:rPr>
          <w:rFonts w:ascii="Arial" w:hAnsi="Arial" w:cs="Arial"/>
          <w:color w:val="000000" w:themeColor="text1"/>
          <w:sz w:val="22"/>
          <w:szCs w:val="22"/>
        </w:rPr>
      </w:pPr>
      <w:r w:rsidRPr="0016602F">
        <w:rPr>
          <w:rFonts w:ascii="Arial" w:hAnsi="Arial" w:cs="Arial"/>
          <w:color w:val="000000" w:themeColor="text1"/>
          <w:sz w:val="22"/>
          <w:szCs w:val="22"/>
        </w:rPr>
        <w:t>We conducted our audit</w:t>
      </w:r>
      <w:r w:rsidR="00594C0C">
        <w:rPr>
          <w:rFonts w:ascii="Arial" w:hAnsi="Arial" w:cs="Arial"/>
          <w:color w:val="000000" w:themeColor="text1"/>
          <w:sz w:val="22"/>
          <w:szCs w:val="22"/>
        </w:rPr>
        <w:t>s</w:t>
      </w:r>
      <w:r w:rsidRPr="0016602F">
        <w:rPr>
          <w:rFonts w:ascii="Arial" w:hAnsi="Arial" w:cs="Arial"/>
          <w:color w:val="000000" w:themeColor="text1"/>
          <w:sz w:val="22"/>
          <w:szCs w:val="22"/>
        </w:rPr>
        <w:t xml:space="preserve"> in accordance with International Standards of Supreme Audit Institutions (ISSAI).  Our responsibilities under those standards are further described in the </w:t>
      </w:r>
      <w:r w:rsidRPr="0016602F">
        <w:rPr>
          <w:rFonts w:ascii="Arial" w:hAnsi="Arial" w:cs="Arial"/>
          <w:i/>
          <w:color w:val="000000" w:themeColor="text1"/>
          <w:sz w:val="22"/>
          <w:szCs w:val="22"/>
        </w:rPr>
        <w:t xml:space="preserve">Auditor’s Responsibilities for the Audit of the Financial Statements section of our report.  </w:t>
      </w:r>
      <w:r w:rsidRPr="0016602F">
        <w:rPr>
          <w:rFonts w:ascii="Arial" w:hAnsi="Arial" w:cs="Arial"/>
          <w:color w:val="000000" w:themeColor="text1"/>
          <w:sz w:val="22"/>
          <w:szCs w:val="22"/>
        </w:rPr>
        <w:t>We are independent of the N</w:t>
      </w:r>
      <w:r>
        <w:rPr>
          <w:rFonts w:ascii="Arial" w:hAnsi="Arial" w:cs="Arial"/>
          <w:color w:val="000000" w:themeColor="text1"/>
          <w:sz w:val="22"/>
          <w:szCs w:val="22"/>
        </w:rPr>
        <w:t>T</w:t>
      </w:r>
      <w:r w:rsidRPr="0016602F">
        <w:rPr>
          <w:rFonts w:ascii="Arial" w:hAnsi="Arial" w:cs="Arial"/>
          <w:color w:val="000000" w:themeColor="text1"/>
          <w:sz w:val="22"/>
          <w:szCs w:val="22"/>
        </w:rPr>
        <w:t xml:space="preserve">A in accordance with the ethical requirements that are relevant to our audit of the financial statements in the Philippines, and we have fulfilled our other ethical responsibilities in accordance with these requirements. </w:t>
      </w:r>
    </w:p>
    <w:p w:rsidR="00474BD1" w:rsidRPr="0016602F" w:rsidRDefault="00474BD1" w:rsidP="00474BD1">
      <w:pPr>
        <w:jc w:val="both"/>
        <w:rPr>
          <w:rFonts w:ascii="Arial" w:hAnsi="Arial"/>
          <w:b/>
          <w:i/>
          <w:color w:val="000000" w:themeColor="text1"/>
          <w:sz w:val="22"/>
        </w:rPr>
      </w:pPr>
    </w:p>
    <w:p w:rsidR="009A0982" w:rsidRDefault="00474BD1" w:rsidP="009A0982">
      <w:pPr>
        <w:jc w:val="both"/>
        <w:rPr>
          <w:rFonts w:ascii="Arial" w:hAnsi="Arial"/>
          <w:b/>
          <w:sz w:val="22"/>
        </w:rPr>
      </w:pPr>
      <w:r w:rsidRPr="0046290D">
        <w:rPr>
          <w:rFonts w:ascii="Arial" w:hAnsi="Arial"/>
          <w:b/>
          <w:sz w:val="22"/>
        </w:rPr>
        <w:t xml:space="preserve">Responsibilities of Management and Those Charged </w:t>
      </w:r>
      <w:r w:rsidR="009A0982" w:rsidRPr="0046290D">
        <w:rPr>
          <w:rFonts w:ascii="Arial" w:hAnsi="Arial"/>
          <w:b/>
          <w:sz w:val="22"/>
        </w:rPr>
        <w:t>with Governance for the Financial Statements</w:t>
      </w:r>
    </w:p>
    <w:p w:rsidR="00955427" w:rsidRPr="005D6D39" w:rsidRDefault="00955427" w:rsidP="009A0982">
      <w:pPr>
        <w:jc w:val="both"/>
        <w:rPr>
          <w:rFonts w:ascii="Arial" w:hAnsi="Arial"/>
          <w:b/>
          <w:i/>
          <w:sz w:val="22"/>
        </w:rPr>
      </w:pPr>
    </w:p>
    <w:p w:rsidR="00474BD1" w:rsidRDefault="00474BD1" w:rsidP="00474BD1">
      <w:pPr>
        <w:jc w:val="both"/>
        <w:rPr>
          <w:rFonts w:ascii="Arial" w:hAnsi="Arial"/>
          <w:sz w:val="22"/>
        </w:rPr>
      </w:pPr>
      <w:r w:rsidRPr="00462690">
        <w:rPr>
          <w:rFonts w:ascii="Arial" w:hAnsi="Arial"/>
          <w:sz w:val="22"/>
        </w:rPr>
        <w:t>Management is responsible for the preparation and fair presentation of the</w:t>
      </w:r>
      <w:r>
        <w:rPr>
          <w:rFonts w:ascii="Arial" w:hAnsi="Arial"/>
          <w:sz w:val="22"/>
        </w:rPr>
        <w:t xml:space="preserve">se </w:t>
      </w:r>
      <w:r w:rsidRPr="00462690">
        <w:rPr>
          <w:rFonts w:ascii="Arial" w:hAnsi="Arial"/>
          <w:sz w:val="22"/>
        </w:rPr>
        <w:t xml:space="preserve">financial statements in accordance with </w:t>
      </w:r>
      <w:r>
        <w:rPr>
          <w:rFonts w:ascii="Arial" w:hAnsi="Arial"/>
          <w:sz w:val="22"/>
        </w:rPr>
        <w:t>PPSAS</w:t>
      </w:r>
      <w:r w:rsidRPr="00462690">
        <w:rPr>
          <w:rFonts w:ascii="Arial" w:hAnsi="Arial"/>
          <w:sz w:val="22"/>
        </w:rPr>
        <w:t>, and for such internal control as management determines is necessary to enable the preparation of financial statements that are free from material misstatement, whether due to fraud or error.</w:t>
      </w:r>
    </w:p>
    <w:p w:rsidR="00474BD1" w:rsidRDefault="00474BD1" w:rsidP="00474BD1">
      <w:pPr>
        <w:jc w:val="both"/>
        <w:rPr>
          <w:rFonts w:ascii="Arial" w:hAnsi="Arial"/>
          <w:sz w:val="22"/>
        </w:rPr>
      </w:pPr>
    </w:p>
    <w:p w:rsidR="00474BD1" w:rsidRDefault="00474BD1" w:rsidP="00474BD1">
      <w:pPr>
        <w:jc w:val="both"/>
        <w:rPr>
          <w:rFonts w:ascii="Arial" w:hAnsi="Arial"/>
          <w:sz w:val="22"/>
        </w:rPr>
      </w:pPr>
      <w:r>
        <w:rPr>
          <w:rFonts w:ascii="Arial" w:hAnsi="Arial"/>
          <w:sz w:val="22"/>
        </w:rPr>
        <w:t xml:space="preserve">In preparing the financial statements, management is responsible for assessing the </w:t>
      </w:r>
      <w:r w:rsidR="00BF51E5">
        <w:rPr>
          <w:rFonts w:ascii="Arial" w:hAnsi="Arial"/>
          <w:sz w:val="22"/>
        </w:rPr>
        <w:t xml:space="preserve">                   </w:t>
      </w:r>
      <w:r>
        <w:rPr>
          <w:rFonts w:ascii="Arial" w:hAnsi="Arial"/>
          <w:sz w:val="22"/>
        </w:rPr>
        <w:t xml:space="preserve">NTA’s ability to continue as a going concern, disclosing, as applicable, matters related to going concern and using the going concern basis of accounting unless management </w:t>
      </w:r>
      <w:r w:rsidR="00BF51E5">
        <w:rPr>
          <w:rFonts w:ascii="Arial" w:hAnsi="Arial"/>
          <w:sz w:val="22"/>
        </w:rPr>
        <w:t xml:space="preserve">           </w:t>
      </w:r>
      <w:r>
        <w:rPr>
          <w:rFonts w:ascii="Arial" w:hAnsi="Arial"/>
          <w:sz w:val="22"/>
        </w:rPr>
        <w:t>either intends to liquidate N</w:t>
      </w:r>
      <w:r w:rsidR="00710D2D">
        <w:rPr>
          <w:rFonts w:ascii="Arial" w:hAnsi="Arial"/>
          <w:sz w:val="22"/>
        </w:rPr>
        <w:t>T</w:t>
      </w:r>
      <w:r>
        <w:rPr>
          <w:rFonts w:ascii="Arial" w:hAnsi="Arial"/>
          <w:sz w:val="22"/>
        </w:rPr>
        <w:t xml:space="preserve">A or to cease operations, or has no realistic alternative but to do so.  </w:t>
      </w:r>
    </w:p>
    <w:p w:rsidR="00474BD1" w:rsidRDefault="00474BD1" w:rsidP="00474BD1">
      <w:pPr>
        <w:jc w:val="both"/>
        <w:rPr>
          <w:rFonts w:ascii="Arial" w:hAnsi="Arial"/>
          <w:sz w:val="22"/>
        </w:rPr>
      </w:pPr>
    </w:p>
    <w:p w:rsidR="00594C0C" w:rsidRPr="00462690" w:rsidRDefault="00474BD1" w:rsidP="00474BD1">
      <w:pPr>
        <w:jc w:val="both"/>
        <w:rPr>
          <w:rFonts w:ascii="Arial" w:hAnsi="Arial"/>
          <w:sz w:val="22"/>
        </w:rPr>
      </w:pPr>
      <w:r>
        <w:rPr>
          <w:rFonts w:ascii="Arial" w:hAnsi="Arial"/>
          <w:sz w:val="22"/>
        </w:rPr>
        <w:t>Those charged with governance are responsible for overseeing the NTA’s financial reporting process.</w:t>
      </w:r>
    </w:p>
    <w:p w:rsidR="00C37E52" w:rsidRDefault="00C37E52" w:rsidP="00474BD1">
      <w:pPr>
        <w:jc w:val="both"/>
        <w:rPr>
          <w:rFonts w:ascii="Arial" w:hAnsi="Arial"/>
          <w:b/>
          <w:sz w:val="22"/>
        </w:rPr>
      </w:pPr>
    </w:p>
    <w:p w:rsidR="006A55EC" w:rsidRDefault="006A55EC" w:rsidP="00474BD1">
      <w:pPr>
        <w:jc w:val="both"/>
        <w:rPr>
          <w:rFonts w:ascii="Arial" w:hAnsi="Arial"/>
          <w:b/>
          <w:sz w:val="22"/>
        </w:rPr>
      </w:pPr>
    </w:p>
    <w:p w:rsidR="006A55EC" w:rsidRDefault="006A55EC" w:rsidP="00474BD1">
      <w:pPr>
        <w:jc w:val="both"/>
        <w:rPr>
          <w:rFonts w:ascii="Arial" w:hAnsi="Arial"/>
          <w:b/>
          <w:sz w:val="22"/>
        </w:rPr>
      </w:pPr>
    </w:p>
    <w:p w:rsidR="00474BD1" w:rsidRPr="000C3909" w:rsidRDefault="00474BD1" w:rsidP="00474BD1">
      <w:pPr>
        <w:jc w:val="both"/>
        <w:rPr>
          <w:rFonts w:ascii="Arial" w:hAnsi="Arial"/>
          <w:b/>
          <w:sz w:val="22"/>
        </w:rPr>
      </w:pPr>
      <w:r w:rsidRPr="0046290D">
        <w:rPr>
          <w:rFonts w:ascii="Arial" w:hAnsi="Arial"/>
          <w:b/>
          <w:sz w:val="22"/>
        </w:rPr>
        <w:t>Auditor’s Responsibilities for the Audit of the Financial Statements</w:t>
      </w:r>
    </w:p>
    <w:p w:rsidR="00474BD1" w:rsidRPr="00462690" w:rsidRDefault="00474BD1" w:rsidP="00474BD1">
      <w:pPr>
        <w:jc w:val="both"/>
        <w:rPr>
          <w:rFonts w:ascii="Arial" w:hAnsi="Arial"/>
          <w:i/>
          <w:sz w:val="22"/>
        </w:rPr>
      </w:pPr>
    </w:p>
    <w:p w:rsidR="00474BD1" w:rsidRPr="0016602F" w:rsidRDefault="00474BD1" w:rsidP="00474BD1">
      <w:pPr>
        <w:jc w:val="both"/>
        <w:rPr>
          <w:rFonts w:ascii="Arial" w:hAnsi="Arial" w:cs="Arial"/>
          <w:color w:val="000000" w:themeColor="text1"/>
          <w:sz w:val="22"/>
          <w:szCs w:val="22"/>
        </w:rPr>
      </w:pPr>
      <w:r w:rsidRPr="0016602F">
        <w:rPr>
          <w:rFonts w:ascii="Arial" w:hAnsi="Arial" w:cs="Arial"/>
          <w:color w:val="000000" w:themeColor="text1"/>
          <w:sz w:val="22"/>
          <w:szCs w:val="2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ISSAI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474BD1" w:rsidRPr="002A3F5A" w:rsidRDefault="00474BD1" w:rsidP="00474BD1">
      <w:pPr>
        <w:jc w:val="both"/>
        <w:rPr>
          <w:rFonts w:ascii="Arial" w:hAnsi="Arial" w:cs="Arial"/>
          <w:sz w:val="22"/>
          <w:szCs w:val="22"/>
        </w:rPr>
      </w:pPr>
    </w:p>
    <w:p w:rsidR="00474BD1" w:rsidRPr="0016602F" w:rsidRDefault="00474BD1" w:rsidP="00474BD1">
      <w:pPr>
        <w:jc w:val="both"/>
        <w:rPr>
          <w:rFonts w:ascii="Arial" w:hAnsi="Arial" w:cs="Arial"/>
          <w:color w:val="000000" w:themeColor="text1"/>
          <w:sz w:val="22"/>
          <w:szCs w:val="22"/>
        </w:rPr>
      </w:pPr>
      <w:r w:rsidRPr="0016602F">
        <w:rPr>
          <w:rFonts w:ascii="Arial" w:hAnsi="Arial" w:cs="Arial"/>
          <w:color w:val="000000" w:themeColor="text1"/>
          <w:sz w:val="22"/>
          <w:szCs w:val="22"/>
        </w:rPr>
        <w:t>As part of an audit in accordance with ISSAI, we exercise professional judgment and maintain professional skepticism throughout the audit.  We also:</w:t>
      </w:r>
    </w:p>
    <w:p w:rsidR="00474BD1" w:rsidRPr="00A14A74" w:rsidRDefault="00474BD1" w:rsidP="00474BD1">
      <w:pPr>
        <w:jc w:val="both"/>
        <w:rPr>
          <w:rFonts w:cs="Arial"/>
          <w:sz w:val="22"/>
          <w:szCs w:val="22"/>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474BD1" w:rsidRPr="00BA517D" w:rsidRDefault="00474BD1" w:rsidP="00474BD1">
      <w:pPr>
        <w:pStyle w:val="ListParagraph"/>
        <w:ind w:left="360" w:hanging="360"/>
        <w:jc w:val="both"/>
        <w:rPr>
          <w:rFonts w:ascii="Arial" w:hAnsi="Arial" w:cs="Arial"/>
          <w:color w:val="000000"/>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Obtain an understanding of internal control relevant to the audit in order to design audit procedures that are appropriate in the circumstances, but not for the purpose of expressing an opinion on the effectiveness of the Corporation’s internal control.</w:t>
      </w:r>
    </w:p>
    <w:p w:rsidR="00474BD1" w:rsidRPr="00C26ADE" w:rsidRDefault="00474BD1" w:rsidP="00474BD1">
      <w:pPr>
        <w:pStyle w:val="ListParagraph"/>
        <w:ind w:left="360" w:hanging="360"/>
        <w:rPr>
          <w:rFonts w:ascii="Arial" w:hAnsi="Arial" w:cs="Arial"/>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Evaluate the appropriateness of accounting policies used and the reasonableness of accounting estimates and related disclosures made by management.</w:t>
      </w:r>
    </w:p>
    <w:p w:rsidR="00474BD1" w:rsidRPr="00BA517D" w:rsidRDefault="00474BD1" w:rsidP="00474BD1">
      <w:pPr>
        <w:pStyle w:val="ListParagraph"/>
        <w:ind w:left="360" w:hanging="360"/>
        <w:rPr>
          <w:rFonts w:ascii="Arial" w:hAnsi="Arial" w:cs="Arial"/>
          <w:color w:val="000000"/>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 xml:space="preserve">Conclude on the appropriateness of management’s use of the going concern basis of accounting and, based on the audit evidence obtained, whether a material uncertainty exists related to events or conditions that may cast significant doubt on the Corporation’s ability to continue as a going concern.  If we conclude that a material uncertainty exists, we are required to draw attention in our auditor’s report to the related disclosures in the financial statements or, if such disclosure are inadequate, to modify our opinion.  Our conclusions are based on the audit evidence obtained up to the date of our auditor’s report.  However, future events or conditions may cause the Corporation to cease to continue as a going concern. </w:t>
      </w:r>
    </w:p>
    <w:p w:rsidR="00474BD1" w:rsidRPr="00BA517D" w:rsidRDefault="00474BD1" w:rsidP="00474BD1">
      <w:pPr>
        <w:pStyle w:val="ListParagraph"/>
        <w:ind w:left="360" w:hanging="360"/>
        <w:rPr>
          <w:rFonts w:ascii="Arial" w:hAnsi="Arial" w:cs="Arial"/>
          <w:color w:val="000000"/>
        </w:rPr>
      </w:pPr>
    </w:p>
    <w:p w:rsidR="00474BD1" w:rsidRPr="00BA517D" w:rsidRDefault="00474BD1" w:rsidP="00474BD1">
      <w:pPr>
        <w:pStyle w:val="ListParagraph"/>
        <w:numPr>
          <w:ilvl w:val="0"/>
          <w:numId w:val="4"/>
        </w:numPr>
        <w:spacing w:after="0" w:line="240" w:lineRule="auto"/>
        <w:ind w:left="360"/>
        <w:contextualSpacing w:val="0"/>
        <w:jc w:val="both"/>
        <w:rPr>
          <w:rFonts w:ascii="Arial" w:hAnsi="Arial" w:cs="Arial"/>
          <w:color w:val="000000"/>
        </w:rPr>
      </w:pPr>
      <w:r w:rsidRPr="00BA517D">
        <w:rPr>
          <w:rFonts w:ascii="Arial" w:hAnsi="Arial" w:cs="Arial"/>
          <w:color w:val="000000"/>
        </w:rPr>
        <w:t>Evaluate the overall presentation, structure and content of the financial statements, including the disclosures, and whether the financial statements represent the underlying transactions and events in a manner that achieves fair presentation.</w:t>
      </w:r>
    </w:p>
    <w:p w:rsidR="00474BD1" w:rsidRPr="003F038D" w:rsidRDefault="00474BD1" w:rsidP="003F038D">
      <w:pPr>
        <w:pStyle w:val="NoSpacing"/>
        <w:rPr>
          <w:rFonts w:ascii="Arial" w:hAnsi="Arial" w:cs="Arial"/>
        </w:rPr>
      </w:pPr>
    </w:p>
    <w:p w:rsidR="008D4C8B" w:rsidRPr="003F038D" w:rsidRDefault="00474BD1" w:rsidP="008E6961">
      <w:pPr>
        <w:pStyle w:val="NoSpacing"/>
        <w:jc w:val="both"/>
        <w:rPr>
          <w:rFonts w:ascii="Arial" w:hAnsi="Arial" w:cs="Arial"/>
        </w:rPr>
      </w:pPr>
      <w:r w:rsidRPr="003F038D">
        <w:rPr>
          <w:rFonts w:ascii="Arial" w:hAnsi="Arial" w:cs="Arial"/>
        </w:rPr>
        <w:t>We communicate with those charged with governance regarding, among other matters, the planned scope and timing of the audit and significant audit findings, including any significant deficiencies in internal control that we identify during our audit.</w:t>
      </w:r>
    </w:p>
    <w:p w:rsidR="003F038D" w:rsidRDefault="003F038D" w:rsidP="00C4252A">
      <w:pPr>
        <w:jc w:val="both"/>
        <w:rPr>
          <w:rFonts w:ascii="Arial" w:hAnsi="Arial"/>
          <w:b/>
          <w:i/>
          <w:sz w:val="22"/>
        </w:rPr>
      </w:pPr>
    </w:p>
    <w:p w:rsidR="00C37E52" w:rsidRDefault="00C37E52" w:rsidP="00474BD1">
      <w:pPr>
        <w:jc w:val="both"/>
        <w:rPr>
          <w:rFonts w:ascii="Arial" w:hAnsi="Arial"/>
          <w:b/>
          <w:i/>
          <w:sz w:val="22"/>
        </w:rPr>
      </w:pPr>
    </w:p>
    <w:p w:rsidR="00232E21" w:rsidRDefault="00232E21" w:rsidP="00474BD1">
      <w:pPr>
        <w:jc w:val="both"/>
        <w:rPr>
          <w:rFonts w:ascii="Arial" w:hAnsi="Arial"/>
          <w:b/>
          <w:i/>
          <w:sz w:val="22"/>
        </w:rPr>
      </w:pPr>
    </w:p>
    <w:p w:rsidR="00232E21" w:rsidRDefault="00232E21" w:rsidP="00474BD1">
      <w:pPr>
        <w:jc w:val="both"/>
        <w:rPr>
          <w:rFonts w:ascii="Arial" w:hAnsi="Arial"/>
          <w:b/>
          <w:i/>
          <w:sz w:val="22"/>
        </w:rPr>
      </w:pPr>
    </w:p>
    <w:p w:rsidR="00C37E52" w:rsidRDefault="00C37E52" w:rsidP="00474BD1">
      <w:pPr>
        <w:jc w:val="both"/>
        <w:rPr>
          <w:rFonts w:ascii="Arial" w:hAnsi="Arial"/>
          <w:b/>
          <w:i/>
          <w:sz w:val="22"/>
        </w:rPr>
      </w:pPr>
    </w:p>
    <w:p w:rsidR="009A0982" w:rsidRDefault="00474BD1" w:rsidP="009A0982">
      <w:pPr>
        <w:jc w:val="both"/>
        <w:rPr>
          <w:rFonts w:ascii="Arial" w:hAnsi="Arial"/>
          <w:b/>
          <w:i/>
          <w:sz w:val="22"/>
        </w:rPr>
      </w:pPr>
      <w:r>
        <w:rPr>
          <w:rFonts w:ascii="Arial" w:hAnsi="Arial"/>
          <w:b/>
          <w:i/>
          <w:sz w:val="22"/>
        </w:rPr>
        <w:t xml:space="preserve">Report on Supplementary Information Required Under </w:t>
      </w:r>
      <w:r w:rsidR="000B45DE" w:rsidRPr="008E6961">
        <w:rPr>
          <w:rFonts w:ascii="Arial" w:hAnsi="Arial"/>
          <w:b/>
          <w:i/>
          <w:sz w:val="22"/>
        </w:rPr>
        <w:t>Bureau of Internal Revenue</w:t>
      </w:r>
      <w:r w:rsidR="000B45DE" w:rsidRPr="00716F8C">
        <w:rPr>
          <w:rFonts w:ascii="Arial" w:hAnsi="Arial" w:cs="Arial"/>
          <w:sz w:val="22"/>
          <w:szCs w:val="22"/>
        </w:rPr>
        <w:t xml:space="preserve"> </w:t>
      </w:r>
      <w:r w:rsidR="000B45DE">
        <w:rPr>
          <w:rFonts w:ascii="Arial" w:hAnsi="Arial"/>
          <w:b/>
          <w:i/>
          <w:sz w:val="22"/>
        </w:rPr>
        <w:t>(</w:t>
      </w:r>
      <w:r w:rsidR="009A0982">
        <w:rPr>
          <w:rFonts w:ascii="Arial" w:hAnsi="Arial"/>
          <w:b/>
          <w:i/>
          <w:sz w:val="22"/>
        </w:rPr>
        <w:t>BIR</w:t>
      </w:r>
      <w:r w:rsidR="000B45DE">
        <w:rPr>
          <w:rFonts w:ascii="Arial" w:hAnsi="Arial"/>
          <w:b/>
          <w:i/>
          <w:sz w:val="22"/>
        </w:rPr>
        <w:t>)</w:t>
      </w:r>
      <w:r w:rsidR="009A0982">
        <w:rPr>
          <w:rFonts w:ascii="Arial" w:hAnsi="Arial"/>
          <w:b/>
          <w:i/>
          <w:sz w:val="22"/>
        </w:rPr>
        <w:t xml:space="preserve"> Revenue Regulations 15-2010</w:t>
      </w:r>
    </w:p>
    <w:p w:rsidR="00474BD1" w:rsidRDefault="00474BD1" w:rsidP="00474BD1">
      <w:pPr>
        <w:jc w:val="both"/>
        <w:rPr>
          <w:rFonts w:ascii="Arial" w:hAnsi="Arial"/>
          <w:b/>
          <w:i/>
          <w:sz w:val="22"/>
        </w:rPr>
      </w:pPr>
    </w:p>
    <w:p w:rsidR="00474BD1" w:rsidRPr="00803BF4" w:rsidRDefault="00474BD1" w:rsidP="00474BD1">
      <w:pPr>
        <w:jc w:val="both"/>
        <w:rPr>
          <w:rFonts w:ascii="Arial" w:hAnsi="Arial" w:cs="Arial"/>
          <w:i/>
          <w:sz w:val="22"/>
          <w:szCs w:val="22"/>
        </w:rPr>
      </w:pPr>
      <w:r w:rsidRPr="00803BF4">
        <w:rPr>
          <w:rFonts w:ascii="Arial" w:hAnsi="Arial"/>
          <w:sz w:val="22"/>
        </w:rPr>
        <w:t>Our audit</w:t>
      </w:r>
      <w:r w:rsidR="00B850F7" w:rsidRPr="00803BF4">
        <w:rPr>
          <w:rFonts w:ascii="Arial" w:hAnsi="Arial"/>
          <w:sz w:val="22"/>
        </w:rPr>
        <w:t>s</w:t>
      </w:r>
      <w:r w:rsidRPr="00803BF4">
        <w:rPr>
          <w:rFonts w:ascii="Arial" w:hAnsi="Arial"/>
          <w:sz w:val="22"/>
        </w:rPr>
        <w:t xml:space="preserve"> </w:t>
      </w:r>
      <w:r w:rsidR="00B850F7" w:rsidRPr="00803BF4">
        <w:rPr>
          <w:rFonts w:ascii="Arial" w:hAnsi="Arial"/>
          <w:sz w:val="22"/>
        </w:rPr>
        <w:t>were</w:t>
      </w:r>
      <w:r w:rsidRPr="00803BF4">
        <w:rPr>
          <w:rFonts w:ascii="Arial" w:hAnsi="Arial"/>
          <w:sz w:val="22"/>
        </w:rPr>
        <w:t xml:space="preserve"> conducted for the purpose of forming an opinion on the basic financial statements taken as a whole.</w:t>
      </w:r>
      <w:r w:rsidR="008A10ED">
        <w:rPr>
          <w:rFonts w:ascii="Arial" w:hAnsi="Arial"/>
          <w:sz w:val="22"/>
        </w:rPr>
        <w:t xml:space="preserve"> </w:t>
      </w:r>
      <w:r w:rsidRPr="00803BF4">
        <w:rPr>
          <w:rFonts w:ascii="Arial" w:hAnsi="Arial"/>
          <w:sz w:val="22"/>
        </w:rPr>
        <w:t xml:space="preserve">The supplementary information for the </w:t>
      </w:r>
      <w:r w:rsidRPr="00716F8C">
        <w:rPr>
          <w:rFonts w:ascii="Arial" w:hAnsi="Arial"/>
          <w:sz w:val="22"/>
        </w:rPr>
        <w:t>year ended December 31, 201</w:t>
      </w:r>
      <w:r w:rsidR="00751035" w:rsidRPr="00716F8C">
        <w:rPr>
          <w:rFonts w:ascii="Arial" w:hAnsi="Arial"/>
          <w:sz w:val="22"/>
        </w:rPr>
        <w:t>8</w:t>
      </w:r>
      <w:r w:rsidRPr="00716F8C">
        <w:rPr>
          <w:rFonts w:ascii="Arial" w:hAnsi="Arial"/>
          <w:sz w:val="22"/>
        </w:rPr>
        <w:t xml:space="preserve"> required by the BIR</w:t>
      </w:r>
      <w:r w:rsidRPr="00716F8C">
        <w:rPr>
          <w:rFonts w:ascii="Arial" w:hAnsi="Arial" w:cs="Arial"/>
          <w:sz w:val="22"/>
          <w:szCs w:val="22"/>
        </w:rPr>
        <w:t xml:space="preserve"> as disclosed in Note </w:t>
      </w:r>
      <w:r w:rsidR="00594C0C">
        <w:rPr>
          <w:rFonts w:ascii="Arial" w:hAnsi="Arial" w:cs="Arial"/>
          <w:sz w:val="22"/>
          <w:szCs w:val="22"/>
        </w:rPr>
        <w:t>29</w:t>
      </w:r>
      <w:r w:rsidRPr="00716F8C">
        <w:rPr>
          <w:rFonts w:ascii="Arial" w:hAnsi="Arial" w:cs="Arial"/>
          <w:sz w:val="22"/>
          <w:szCs w:val="22"/>
        </w:rPr>
        <w:t xml:space="preserve"> to the financial statements is presented for purposes of additional analysis and is not a required part of the basic financial statements prepared in accordance with the PPSAS</w:t>
      </w:r>
      <w:r w:rsidRPr="00803BF4">
        <w:rPr>
          <w:rFonts w:ascii="Arial" w:hAnsi="Arial" w:cs="Arial"/>
          <w:sz w:val="22"/>
          <w:szCs w:val="22"/>
        </w:rPr>
        <w:t>. Such supplementary information is the responsibility of management.</w:t>
      </w:r>
    </w:p>
    <w:p w:rsidR="00474BD1" w:rsidRDefault="00474BD1" w:rsidP="00474BD1">
      <w:pPr>
        <w:rPr>
          <w:rFonts w:ascii="Arial" w:hAnsi="Arial"/>
          <w:i/>
          <w:sz w:val="22"/>
        </w:rPr>
      </w:pPr>
    </w:p>
    <w:p w:rsidR="0003084E" w:rsidRPr="00462690" w:rsidRDefault="0003084E" w:rsidP="00474BD1">
      <w:pPr>
        <w:rPr>
          <w:rFonts w:ascii="Arial" w:hAnsi="Arial"/>
          <w:i/>
          <w:sz w:val="22"/>
        </w:rPr>
      </w:pPr>
    </w:p>
    <w:p w:rsidR="00474BD1" w:rsidRPr="00462690" w:rsidRDefault="00EC238C" w:rsidP="00474BD1">
      <w:pPr>
        <w:jc w:val="both"/>
        <w:rPr>
          <w:rFonts w:ascii="Arial" w:hAnsi="Arial"/>
          <w:b/>
          <w:sz w:val="22"/>
          <w:szCs w:val="22"/>
        </w:rPr>
      </w:pPr>
      <w:r w:rsidRPr="00EC238C">
        <w:rPr>
          <w:rFonts w:ascii="Calibri" w:eastAsia="Calibri" w:hAnsi="Calibri"/>
          <w:noProof/>
          <w:sz w:val="22"/>
          <w:szCs w:val="22"/>
        </w:rPr>
        <w:drawing>
          <wp:anchor distT="0" distB="0" distL="114300" distR="114300" simplePos="0" relativeHeight="251660288" behindDoc="1" locked="0" layoutInCell="1" allowOverlap="1">
            <wp:simplePos x="0" y="0"/>
            <wp:positionH relativeFrom="column">
              <wp:posOffset>-38100</wp:posOffset>
            </wp:positionH>
            <wp:positionV relativeFrom="paragraph">
              <wp:posOffset>91440</wp:posOffset>
            </wp:positionV>
            <wp:extent cx="1684020" cy="89903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4020" cy="899039"/>
                    </a:xfrm>
                    <a:prstGeom prst="rect">
                      <a:avLst/>
                    </a:prstGeom>
                    <a:noFill/>
                    <a:ln>
                      <a:noFill/>
                    </a:ln>
                  </pic:spPr>
                </pic:pic>
              </a:graphicData>
            </a:graphic>
            <wp14:sizeRelH relativeFrom="page">
              <wp14:pctWidth>0</wp14:pctWidth>
            </wp14:sizeRelH>
            <wp14:sizeRelV relativeFrom="page">
              <wp14:pctHeight>0</wp14:pctHeight>
            </wp14:sizeRelV>
          </wp:anchor>
        </w:drawing>
      </w:r>
      <w:r w:rsidR="00474BD1" w:rsidRPr="00462690">
        <w:rPr>
          <w:rFonts w:ascii="Arial" w:hAnsi="Arial"/>
          <w:b/>
          <w:sz w:val="22"/>
          <w:szCs w:val="22"/>
        </w:rPr>
        <w:t>COMMISSION ON AUDIT</w:t>
      </w:r>
    </w:p>
    <w:p w:rsidR="00474BD1" w:rsidRPr="00462690" w:rsidRDefault="00474BD1" w:rsidP="00474BD1">
      <w:pPr>
        <w:jc w:val="both"/>
        <w:rPr>
          <w:b/>
          <w:sz w:val="22"/>
          <w:szCs w:val="22"/>
          <w:lang w:val="en-PH"/>
        </w:rPr>
      </w:pPr>
    </w:p>
    <w:p w:rsidR="00474BD1" w:rsidRPr="00462690" w:rsidRDefault="00474BD1" w:rsidP="00474BD1">
      <w:pPr>
        <w:jc w:val="both"/>
        <w:rPr>
          <w:b/>
          <w:sz w:val="22"/>
          <w:szCs w:val="22"/>
          <w:lang w:val="en-PH"/>
        </w:rPr>
      </w:pPr>
    </w:p>
    <w:p w:rsidR="00474BD1" w:rsidRDefault="00474BD1" w:rsidP="00474BD1">
      <w:pPr>
        <w:jc w:val="both"/>
        <w:rPr>
          <w:rFonts w:ascii="Arial" w:hAnsi="Arial"/>
          <w:b/>
          <w:sz w:val="22"/>
          <w:szCs w:val="22"/>
          <w:lang w:val="en-PH"/>
        </w:rPr>
      </w:pPr>
    </w:p>
    <w:p w:rsidR="00474BD1" w:rsidRPr="00462690" w:rsidRDefault="00474BD1" w:rsidP="00474BD1">
      <w:pPr>
        <w:jc w:val="both"/>
        <w:rPr>
          <w:rFonts w:ascii="Arial" w:hAnsi="Arial"/>
          <w:sz w:val="22"/>
          <w:szCs w:val="22"/>
        </w:rPr>
      </w:pPr>
      <w:r>
        <w:rPr>
          <w:rFonts w:ascii="Arial" w:hAnsi="Arial"/>
          <w:b/>
          <w:sz w:val="22"/>
          <w:szCs w:val="22"/>
          <w:lang w:val="en-PH"/>
        </w:rPr>
        <w:t>MERLE M. VALENTIN</w:t>
      </w:r>
    </w:p>
    <w:p w:rsidR="00474BD1" w:rsidRPr="00462690" w:rsidRDefault="00474BD1" w:rsidP="00474BD1">
      <w:pPr>
        <w:jc w:val="both"/>
        <w:rPr>
          <w:rFonts w:ascii="Arial" w:hAnsi="Arial"/>
          <w:sz w:val="22"/>
          <w:szCs w:val="22"/>
          <w:lang w:val="en-PH"/>
        </w:rPr>
      </w:pPr>
      <w:r>
        <w:rPr>
          <w:rFonts w:ascii="Arial" w:hAnsi="Arial"/>
          <w:sz w:val="22"/>
          <w:szCs w:val="22"/>
          <w:lang w:val="en-PH"/>
        </w:rPr>
        <w:t>State Auditor IV</w:t>
      </w:r>
    </w:p>
    <w:p w:rsidR="00474BD1" w:rsidRDefault="00474BD1" w:rsidP="00474BD1">
      <w:pPr>
        <w:jc w:val="both"/>
        <w:rPr>
          <w:rFonts w:ascii="Arial" w:hAnsi="Arial"/>
          <w:sz w:val="22"/>
          <w:szCs w:val="22"/>
          <w:lang w:val="en-PH"/>
        </w:rPr>
      </w:pPr>
      <w:r>
        <w:rPr>
          <w:rFonts w:ascii="Arial" w:hAnsi="Arial"/>
          <w:sz w:val="22"/>
          <w:szCs w:val="22"/>
          <w:lang w:val="en-PH"/>
        </w:rPr>
        <w:t>OIC-Supervising Auditor</w:t>
      </w:r>
    </w:p>
    <w:p w:rsidR="00474BD1" w:rsidRPr="00462690" w:rsidRDefault="00474BD1" w:rsidP="00474BD1">
      <w:pPr>
        <w:jc w:val="both"/>
        <w:rPr>
          <w:rFonts w:ascii="Arial" w:hAnsi="Arial"/>
          <w:sz w:val="22"/>
          <w:szCs w:val="22"/>
          <w:lang w:val="en-PH"/>
        </w:rPr>
      </w:pPr>
      <w:r>
        <w:rPr>
          <w:rFonts w:ascii="Arial" w:hAnsi="Arial"/>
          <w:sz w:val="22"/>
          <w:szCs w:val="22"/>
          <w:lang w:val="en-PH"/>
        </w:rPr>
        <w:t>Audit Group D – PFDA/NDA/NTA</w:t>
      </w:r>
    </w:p>
    <w:p w:rsidR="00474BD1" w:rsidRPr="00462690" w:rsidRDefault="00474BD1" w:rsidP="00474BD1">
      <w:pPr>
        <w:jc w:val="both"/>
        <w:rPr>
          <w:rFonts w:ascii="Arial" w:hAnsi="Arial"/>
          <w:sz w:val="22"/>
          <w:szCs w:val="22"/>
        </w:rPr>
      </w:pPr>
      <w:r w:rsidRPr="00462690">
        <w:rPr>
          <w:rFonts w:ascii="Arial" w:hAnsi="Arial"/>
          <w:sz w:val="22"/>
          <w:szCs w:val="22"/>
        </w:rPr>
        <w:t>Cluster 5</w:t>
      </w:r>
      <w:r>
        <w:rPr>
          <w:rFonts w:ascii="Arial" w:hAnsi="Arial"/>
          <w:sz w:val="22"/>
          <w:szCs w:val="22"/>
        </w:rPr>
        <w:t xml:space="preserve"> – Agricultural </w:t>
      </w:r>
      <w:r w:rsidRPr="00462690">
        <w:rPr>
          <w:rFonts w:ascii="Arial" w:hAnsi="Arial"/>
          <w:sz w:val="22"/>
          <w:szCs w:val="22"/>
        </w:rPr>
        <w:t>and Natural Resources</w:t>
      </w:r>
    </w:p>
    <w:p w:rsidR="00474BD1" w:rsidRPr="00462690" w:rsidRDefault="00474BD1" w:rsidP="00474BD1">
      <w:pPr>
        <w:jc w:val="both"/>
        <w:rPr>
          <w:rFonts w:ascii="Arial" w:hAnsi="Arial"/>
          <w:sz w:val="22"/>
          <w:szCs w:val="22"/>
        </w:rPr>
      </w:pPr>
      <w:r w:rsidRPr="00462690">
        <w:rPr>
          <w:rFonts w:ascii="Arial" w:hAnsi="Arial"/>
          <w:sz w:val="22"/>
          <w:szCs w:val="22"/>
        </w:rPr>
        <w:t>Corporate Government Sector</w:t>
      </w:r>
    </w:p>
    <w:p w:rsidR="00B54D25" w:rsidRDefault="00B54D25" w:rsidP="00C87F98">
      <w:pPr>
        <w:pStyle w:val="NoSpacing"/>
        <w:jc w:val="both"/>
        <w:rPr>
          <w:rFonts w:ascii="Arial" w:hAnsi="Arial" w:cs="Arial"/>
        </w:rPr>
      </w:pPr>
    </w:p>
    <w:p w:rsidR="0003084E" w:rsidRPr="00630487" w:rsidRDefault="0003084E" w:rsidP="00C87F98">
      <w:pPr>
        <w:pStyle w:val="NoSpacing"/>
        <w:jc w:val="both"/>
        <w:rPr>
          <w:rFonts w:ascii="Arial" w:hAnsi="Arial" w:cs="Arial"/>
        </w:rPr>
      </w:pPr>
    </w:p>
    <w:p w:rsidR="00B54D25" w:rsidRPr="002D3A4C" w:rsidRDefault="00594C0C" w:rsidP="00C87F98">
      <w:pPr>
        <w:pStyle w:val="NoSpacing"/>
        <w:jc w:val="both"/>
        <w:rPr>
          <w:rFonts w:ascii="Arial" w:hAnsi="Arial" w:cs="Arial"/>
          <w:color w:val="000000" w:themeColor="text1"/>
        </w:rPr>
      </w:pPr>
      <w:r>
        <w:rPr>
          <w:rFonts w:ascii="Arial" w:hAnsi="Arial" w:cs="Arial"/>
          <w:color w:val="000000" w:themeColor="text1"/>
        </w:rPr>
        <w:t>June 11</w:t>
      </w:r>
      <w:r w:rsidR="002D3A4C">
        <w:rPr>
          <w:rFonts w:ascii="Arial" w:hAnsi="Arial" w:cs="Arial"/>
          <w:color w:val="000000" w:themeColor="text1"/>
        </w:rPr>
        <w:t>, 2019</w:t>
      </w:r>
    </w:p>
    <w:sectPr w:rsidR="00B54D25" w:rsidRPr="002D3A4C" w:rsidSect="008D4C8B">
      <w:pgSz w:w="12240" w:h="15840" w:code="1"/>
      <w:pgMar w:top="1440" w:right="1440" w:bottom="1440" w:left="1440" w:header="720" w:footer="720" w:gutter="72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BF0BAE"/>
    <w:multiLevelType w:val="hybridMultilevel"/>
    <w:tmpl w:val="F408805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397B57CD"/>
    <w:multiLevelType w:val="hybridMultilevel"/>
    <w:tmpl w:val="42EE39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4682246C"/>
    <w:multiLevelType w:val="hybridMultilevel"/>
    <w:tmpl w:val="07F0015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nsid w:val="71FA4124"/>
    <w:multiLevelType w:val="hybridMultilevel"/>
    <w:tmpl w:val="873EBE6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76AE4A7A"/>
    <w:multiLevelType w:val="multilevel"/>
    <w:tmpl w:val="3B64D304"/>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ascii="Arial" w:hAnsi="Arial" w:cs="Arial"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3QfIkKG7s2VWeIvW7Hezu/gMIQqINdP1s9F97CLrkfpJo4D3JK8QerCZxriPFGrHQRooRkbhnYABYDIhhFE/PA==" w:salt="r5sfyI2Ir7Xioxa8EKkIy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98"/>
    <w:rsid w:val="00005AAC"/>
    <w:rsid w:val="0003084E"/>
    <w:rsid w:val="00043EF8"/>
    <w:rsid w:val="000549F4"/>
    <w:rsid w:val="000B45DE"/>
    <w:rsid w:val="000C4E4E"/>
    <w:rsid w:val="000D0304"/>
    <w:rsid w:val="000D4A33"/>
    <w:rsid w:val="0015726C"/>
    <w:rsid w:val="00164118"/>
    <w:rsid w:val="001B7706"/>
    <w:rsid w:val="001E38B8"/>
    <w:rsid w:val="001F66EF"/>
    <w:rsid w:val="00204379"/>
    <w:rsid w:val="00205D5F"/>
    <w:rsid w:val="002109AC"/>
    <w:rsid w:val="00232E21"/>
    <w:rsid w:val="002351F1"/>
    <w:rsid w:val="002D3A4C"/>
    <w:rsid w:val="002F4321"/>
    <w:rsid w:val="00325869"/>
    <w:rsid w:val="003444A2"/>
    <w:rsid w:val="0035075A"/>
    <w:rsid w:val="003B400E"/>
    <w:rsid w:val="003B6BA3"/>
    <w:rsid w:val="003D15AA"/>
    <w:rsid w:val="003D1779"/>
    <w:rsid w:val="003E37D8"/>
    <w:rsid w:val="003F038D"/>
    <w:rsid w:val="0043422B"/>
    <w:rsid w:val="0044360C"/>
    <w:rsid w:val="0046158D"/>
    <w:rsid w:val="00474BD1"/>
    <w:rsid w:val="004D3996"/>
    <w:rsid w:val="00515626"/>
    <w:rsid w:val="00592518"/>
    <w:rsid w:val="00594C0C"/>
    <w:rsid w:val="00614ED3"/>
    <w:rsid w:val="00624896"/>
    <w:rsid w:val="00627150"/>
    <w:rsid w:val="00630487"/>
    <w:rsid w:val="00693479"/>
    <w:rsid w:val="006A55EC"/>
    <w:rsid w:val="006C6A62"/>
    <w:rsid w:val="006D55A0"/>
    <w:rsid w:val="00710D2D"/>
    <w:rsid w:val="00716F8C"/>
    <w:rsid w:val="00722D79"/>
    <w:rsid w:val="00725FE5"/>
    <w:rsid w:val="00746522"/>
    <w:rsid w:val="00751035"/>
    <w:rsid w:val="0075115F"/>
    <w:rsid w:val="00795BF3"/>
    <w:rsid w:val="007A107D"/>
    <w:rsid w:val="00803BF4"/>
    <w:rsid w:val="00853B3C"/>
    <w:rsid w:val="0085552C"/>
    <w:rsid w:val="0088076E"/>
    <w:rsid w:val="008920F7"/>
    <w:rsid w:val="008A10ED"/>
    <w:rsid w:val="008A63F4"/>
    <w:rsid w:val="008D4C8B"/>
    <w:rsid w:val="008D55A0"/>
    <w:rsid w:val="008E4EB2"/>
    <w:rsid w:val="008E6961"/>
    <w:rsid w:val="00922D4B"/>
    <w:rsid w:val="00955427"/>
    <w:rsid w:val="009647A1"/>
    <w:rsid w:val="0099683F"/>
    <w:rsid w:val="009A0982"/>
    <w:rsid w:val="009A11E1"/>
    <w:rsid w:val="009B6A50"/>
    <w:rsid w:val="009C5A52"/>
    <w:rsid w:val="00A0246A"/>
    <w:rsid w:val="00A21CA7"/>
    <w:rsid w:val="00A36B11"/>
    <w:rsid w:val="00A4688E"/>
    <w:rsid w:val="00A53319"/>
    <w:rsid w:val="00A60570"/>
    <w:rsid w:val="00A81E5C"/>
    <w:rsid w:val="00AB70C8"/>
    <w:rsid w:val="00AB7C58"/>
    <w:rsid w:val="00AC15CD"/>
    <w:rsid w:val="00AC1A50"/>
    <w:rsid w:val="00AE22BE"/>
    <w:rsid w:val="00AF11BC"/>
    <w:rsid w:val="00B064DF"/>
    <w:rsid w:val="00B13149"/>
    <w:rsid w:val="00B25639"/>
    <w:rsid w:val="00B4676E"/>
    <w:rsid w:val="00B50226"/>
    <w:rsid w:val="00B54D25"/>
    <w:rsid w:val="00B6143E"/>
    <w:rsid w:val="00B6755B"/>
    <w:rsid w:val="00B77157"/>
    <w:rsid w:val="00B850F7"/>
    <w:rsid w:val="00B91C0F"/>
    <w:rsid w:val="00BC673D"/>
    <w:rsid w:val="00BF51E5"/>
    <w:rsid w:val="00C37E52"/>
    <w:rsid w:val="00C4252A"/>
    <w:rsid w:val="00C779A7"/>
    <w:rsid w:val="00C87F98"/>
    <w:rsid w:val="00C932A6"/>
    <w:rsid w:val="00CC7EAF"/>
    <w:rsid w:val="00CE3E3D"/>
    <w:rsid w:val="00D20FB6"/>
    <w:rsid w:val="00D51CA7"/>
    <w:rsid w:val="00D62610"/>
    <w:rsid w:val="00D93815"/>
    <w:rsid w:val="00D93A64"/>
    <w:rsid w:val="00DA74D6"/>
    <w:rsid w:val="00E30D77"/>
    <w:rsid w:val="00EC238C"/>
    <w:rsid w:val="00EE5437"/>
    <w:rsid w:val="00F07B46"/>
    <w:rsid w:val="00F35191"/>
    <w:rsid w:val="00F405D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F447F72-F2E4-46D1-A872-E609D81E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5A0"/>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7F98"/>
    <w:pPr>
      <w:spacing w:after="0" w:line="240" w:lineRule="auto"/>
    </w:pPr>
  </w:style>
  <w:style w:type="paragraph" w:styleId="ListParagraph">
    <w:name w:val="List Paragraph"/>
    <w:aliases w:val="Resume Title"/>
    <w:basedOn w:val="Normal"/>
    <w:link w:val="ListParagraphChar"/>
    <w:uiPriority w:val="34"/>
    <w:qFormat/>
    <w:rsid w:val="00C87F98"/>
    <w:pPr>
      <w:spacing w:after="160" w:line="259" w:lineRule="auto"/>
      <w:ind w:left="720"/>
      <w:contextualSpacing/>
    </w:pPr>
    <w:rPr>
      <w:rFonts w:asciiTheme="minorHAnsi" w:eastAsiaTheme="minorHAnsi" w:hAnsiTheme="minorHAnsi" w:cstheme="minorBidi"/>
      <w:sz w:val="22"/>
      <w:szCs w:val="22"/>
      <w:lang w:val="en-PH"/>
    </w:rPr>
  </w:style>
  <w:style w:type="paragraph" w:styleId="BalloonText">
    <w:name w:val="Balloon Text"/>
    <w:basedOn w:val="Normal"/>
    <w:link w:val="BalloonTextChar"/>
    <w:uiPriority w:val="99"/>
    <w:semiHidden/>
    <w:unhideWhenUsed/>
    <w:rsid w:val="001641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118"/>
    <w:rPr>
      <w:rFonts w:ascii="Segoe UI" w:eastAsia="Times New Roman" w:hAnsi="Segoe UI" w:cs="Segoe UI"/>
      <w:sz w:val="18"/>
      <w:szCs w:val="18"/>
      <w:lang w:val="en-US"/>
    </w:rPr>
  </w:style>
  <w:style w:type="character" w:customStyle="1" w:styleId="ListParagraphChar">
    <w:name w:val="List Paragraph Char"/>
    <w:aliases w:val="Resume Title Char"/>
    <w:link w:val="ListParagraph"/>
    <w:uiPriority w:val="34"/>
    <w:locked/>
    <w:rsid w:val="00803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71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BBEEB-7ACB-454D-AE9A-22A2C223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COA - National Tobacco Administration</dc:creator>
  <cp:keywords/>
  <dc:description/>
  <cp:lastModifiedBy>Ben A. Lazo, Jr.</cp:lastModifiedBy>
  <cp:revision>51</cp:revision>
  <cp:lastPrinted>2019-06-14T04:57:00Z</cp:lastPrinted>
  <dcterms:created xsi:type="dcterms:W3CDTF">2019-02-21T06:55:00Z</dcterms:created>
  <dcterms:modified xsi:type="dcterms:W3CDTF">2019-06-29T01:34:00Z</dcterms:modified>
</cp:coreProperties>
</file>