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47E8" w:rsidRPr="00650CE4" w:rsidRDefault="004947E8" w:rsidP="00650CE4">
      <w:pPr>
        <w:pStyle w:val="NoSpacing"/>
        <w:jc w:val="center"/>
        <w:rPr>
          <w:rFonts w:ascii="Arial" w:hAnsi="Arial" w:cs="Arial"/>
          <w:b/>
        </w:rPr>
      </w:pPr>
      <w:bookmarkStart w:id="0" w:name="_GoBack"/>
      <w:bookmarkEnd w:id="0"/>
      <w:r w:rsidRPr="00650CE4">
        <w:rPr>
          <w:rFonts w:ascii="Arial" w:hAnsi="Arial" w:cs="Arial"/>
          <w:b/>
        </w:rPr>
        <w:t>EXECUTIVE SUMMARY</w:t>
      </w:r>
    </w:p>
    <w:p w:rsidR="004947E8" w:rsidRPr="00A7575A" w:rsidRDefault="004947E8" w:rsidP="005C0558">
      <w:pPr>
        <w:pStyle w:val="NoSpacing"/>
        <w:jc w:val="both"/>
        <w:rPr>
          <w:rFonts w:ascii="Arial" w:hAnsi="Arial" w:cs="Arial"/>
          <w:b/>
          <w:sz w:val="18"/>
          <w:szCs w:val="18"/>
        </w:rPr>
      </w:pPr>
    </w:p>
    <w:p w:rsidR="004947E8" w:rsidRPr="00A7575A" w:rsidRDefault="004947E8" w:rsidP="005C0558">
      <w:pPr>
        <w:pStyle w:val="NoSpacing"/>
        <w:jc w:val="both"/>
        <w:rPr>
          <w:rFonts w:ascii="Arial" w:hAnsi="Arial" w:cs="Arial"/>
          <w:b/>
          <w:sz w:val="18"/>
          <w:szCs w:val="18"/>
        </w:rPr>
      </w:pPr>
    </w:p>
    <w:p w:rsidR="004947E8" w:rsidRPr="00650CE4" w:rsidRDefault="004947E8" w:rsidP="005C0558">
      <w:pPr>
        <w:pStyle w:val="NoSpacing"/>
        <w:jc w:val="both"/>
        <w:rPr>
          <w:rFonts w:ascii="Arial" w:hAnsi="Arial" w:cs="Arial"/>
          <w:b/>
        </w:rPr>
      </w:pPr>
      <w:r w:rsidRPr="00650CE4">
        <w:rPr>
          <w:rFonts w:ascii="Arial" w:hAnsi="Arial" w:cs="Arial"/>
          <w:b/>
        </w:rPr>
        <w:t>INTRODUCTION</w:t>
      </w:r>
    </w:p>
    <w:p w:rsidR="004947E8" w:rsidRPr="00A7575A" w:rsidRDefault="004947E8" w:rsidP="005C0558">
      <w:pPr>
        <w:pStyle w:val="NoSpacing"/>
        <w:jc w:val="both"/>
        <w:rPr>
          <w:rFonts w:ascii="Arial" w:hAnsi="Arial" w:cs="Arial"/>
          <w:sz w:val="18"/>
          <w:szCs w:val="18"/>
        </w:rPr>
      </w:pPr>
    </w:p>
    <w:p w:rsidR="00372260" w:rsidRDefault="004947E8" w:rsidP="005C0558">
      <w:pPr>
        <w:pStyle w:val="NoSpacing"/>
        <w:jc w:val="both"/>
        <w:rPr>
          <w:rFonts w:ascii="Arial" w:eastAsia="Calibri" w:hAnsi="Arial" w:cs="Arial"/>
        </w:rPr>
      </w:pPr>
      <w:r w:rsidRPr="005C0558">
        <w:rPr>
          <w:rFonts w:ascii="Arial" w:eastAsia="Calibri" w:hAnsi="Arial" w:cs="Arial"/>
        </w:rPr>
        <w:t xml:space="preserve">The National Tobacco Administration (NTA) </w:t>
      </w:r>
      <w:r w:rsidRPr="005C0558">
        <w:rPr>
          <w:rFonts w:ascii="Arial" w:hAnsi="Arial" w:cs="Arial"/>
        </w:rPr>
        <w:t xml:space="preserve">with business address at Scout Reyes, corner Panay Avenue, Quezon City </w:t>
      </w:r>
      <w:r w:rsidRPr="005C0558">
        <w:rPr>
          <w:rFonts w:ascii="Arial" w:eastAsia="Calibri" w:hAnsi="Arial" w:cs="Arial"/>
        </w:rPr>
        <w:t>is a</w:t>
      </w:r>
      <w:r w:rsidRPr="005C0558">
        <w:rPr>
          <w:rFonts w:ascii="Arial" w:hAnsi="Arial" w:cs="Arial"/>
        </w:rPr>
        <w:t>n attached agency of the Department of</w:t>
      </w:r>
      <w:r w:rsidR="00726F63">
        <w:rPr>
          <w:rFonts w:ascii="Arial" w:hAnsi="Arial" w:cs="Arial"/>
        </w:rPr>
        <w:t xml:space="preserve"> </w:t>
      </w:r>
      <w:r w:rsidRPr="005C0558">
        <w:rPr>
          <w:rFonts w:ascii="Arial" w:hAnsi="Arial" w:cs="Arial"/>
        </w:rPr>
        <w:t xml:space="preserve">Agriculture operating under the administration of Mr. Robert L. Seares, M.D., the Head of the Agency. It is </w:t>
      </w:r>
      <w:r w:rsidRPr="005C0558">
        <w:rPr>
          <w:rFonts w:ascii="Arial" w:eastAsia="Calibri" w:hAnsi="Arial" w:cs="Arial"/>
        </w:rPr>
        <w:t xml:space="preserve">created under Executive Order No. 116 dated January 30, 1987, which was implemented by EO No. 245 dated July 24, 1987. </w:t>
      </w:r>
      <w:r w:rsidR="00372260">
        <w:rPr>
          <w:rFonts w:ascii="Arial" w:eastAsia="Calibri" w:hAnsi="Arial" w:cs="Arial"/>
        </w:rPr>
        <w:t>Under EO No. 245, seven tobacco agencies were merged to the NTA, namely, Philippine Tobacco Administration; Philippine Virginia Tobacco</w:t>
      </w:r>
      <w:r w:rsidR="00AC196A">
        <w:rPr>
          <w:rFonts w:ascii="Arial" w:eastAsia="Calibri" w:hAnsi="Arial" w:cs="Arial"/>
        </w:rPr>
        <w:t xml:space="preserve"> </w:t>
      </w:r>
      <w:r w:rsidR="00372260">
        <w:rPr>
          <w:rFonts w:ascii="Arial" w:eastAsia="Calibri" w:hAnsi="Arial" w:cs="Arial"/>
        </w:rPr>
        <w:t>Administration; Philippine Virginia Tobacco Board; Philippine Tobacco Research and Training Center; Virginia Tobacco Fuel Wood</w:t>
      </w:r>
      <w:r w:rsidR="00AC196A">
        <w:rPr>
          <w:rFonts w:ascii="Arial" w:eastAsia="Calibri" w:hAnsi="Arial" w:cs="Arial"/>
        </w:rPr>
        <w:t xml:space="preserve"> </w:t>
      </w:r>
      <w:r w:rsidR="00372260">
        <w:rPr>
          <w:rFonts w:ascii="Arial" w:eastAsia="Calibri" w:hAnsi="Arial" w:cs="Arial"/>
        </w:rPr>
        <w:t>Corporation; Virginia Flue-Curing Board</w:t>
      </w:r>
      <w:r w:rsidR="00726F63">
        <w:rPr>
          <w:rFonts w:ascii="Arial" w:eastAsia="Calibri" w:hAnsi="Arial" w:cs="Arial"/>
        </w:rPr>
        <w:t>; and National Tobacco Classification Council.</w:t>
      </w:r>
    </w:p>
    <w:p w:rsidR="00372260" w:rsidRPr="00A7575A" w:rsidRDefault="00372260" w:rsidP="005C0558">
      <w:pPr>
        <w:pStyle w:val="NoSpacing"/>
        <w:jc w:val="both"/>
        <w:rPr>
          <w:rFonts w:ascii="Arial" w:eastAsia="Calibri" w:hAnsi="Arial" w:cs="Arial"/>
          <w:sz w:val="18"/>
          <w:szCs w:val="18"/>
        </w:rPr>
      </w:pPr>
    </w:p>
    <w:p w:rsidR="004947E8" w:rsidRPr="00AB3848" w:rsidRDefault="004947E8" w:rsidP="005C0558">
      <w:pPr>
        <w:pStyle w:val="NoSpacing"/>
        <w:jc w:val="both"/>
        <w:rPr>
          <w:rFonts w:ascii="Arial" w:eastAsia="Calibri" w:hAnsi="Arial" w:cs="Arial"/>
          <w:color w:val="000000" w:themeColor="text1"/>
        </w:rPr>
      </w:pPr>
      <w:r w:rsidRPr="005C0558">
        <w:rPr>
          <w:rFonts w:ascii="Arial" w:eastAsia="Calibri" w:hAnsi="Arial" w:cs="Arial"/>
        </w:rPr>
        <w:t xml:space="preserve">The NTA is mandated to: (a) improve the economic and living conditions and </w:t>
      </w:r>
      <w:r w:rsidR="00726F63">
        <w:rPr>
          <w:rFonts w:ascii="Arial" w:eastAsia="Calibri" w:hAnsi="Arial" w:cs="Arial"/>
        </w:rPr>
        <w:t xml:space="preserve">                                       </w:t>
      </w:r>
      <w:r w:rsidRPr="005C0558">
        <w:rPr>
          <w:rFonts w:ascii="Arial" w:eastAsia="Calibri" w:hAnsi="Arial" w:cs="Arial"/>
        </w:rPr>
        <w:t xml:space="preserve">raise the quality of life of the tobacco farmers including those who depend upon the industry for their livelihood; and (b) promote the balanced and integrated growth and development of the industry and help make agriculture a solid base for </w:t>
      </w:r>
      <w:r w:rsidR="00726F63">
        <w:rPr>
          <w:rFonts w:ascii="Arial" w:eastAsia="Calibri" w:hAnsi="Arial" w:cs="Arial"/>
        </w:rPr>
        <w:t xml:space="preserve">                                        </w:t>
      </w:r>
      <w:r w:rsidRPr="005C0558">
        <w:rPr>
          <w:rFonts w:ascii="Arial" w:eastAsia="Calibri" w:hAnsi="Arial" w:cs="Arial"/>
        </w:rPr>
        <w:t xml:space="preserve">massive industrialization. The Agency also administers and regulates the tobacco industry </w:t>
      </w:r>
      <w:r w:rsidRPr="00AB3848">
        <w:rPr>
          <w:rFonts w:ascii="Arial" w:eastAsia="Calibri" w:hAnsi="Arial" w:cs="Arial"/>
          <w:color w:val="000000" w:themeColor="text1"/>
        </w:rPr>
        <w:t>of the Philippines.</w:t>
      </w:r>
    </w:p>
    <w:p w:rsidR="00372260" w:rsidRPr="00A7575A" w:rsidRDefault="00372260" w:rsidP="005C0558">
      <w:pPr>
        <w:pStyle w:val="NoSpacing"/>
        <w:jc w:val="both"/>
        <w:rPr>
          <w:rFonts w:ascii="Arial" w:hAnsi="Arial" w:cs="Arial"/>
          <w:color w:val="000000" w:themeColor="text1"/>
          <w:sz w:val="18"/>
          <w:szCs w:val="18"/>
        </w:rPr>
      </w:pPr>
    </w:p>
    <w:p w:rsidR="004947E8" w:rsidRPr="00AB3848" w:rsidRDefault="004947E8" w:rsidP="005C0558">
      <w:pPr>
        <w:pStyle w:val="NoSpacing"/>
        <w:jc w:val="both"/>
        <w:rPr>
          <w:rFonts w:ascii="Arial" w:hAnsi="Arial" w:cs="Arial"/>
          <w:color w:val="000000" w:themeColor="text1"/>
        </w:rPr>
      </w:pPr>
      <w:r w:rsidRPr="00AB3848">
        <w:rPr>
          <w:rFonts w:ascii="Arial" w:hAnsi="Arial" w:cs="Arial"/>
          <w:color w:val="000000" w:themeColor="text1"/>
        </w:rPr>
        <w:t>As at December 31, 201</w:t>
      </w:r>
      <w:r w:rsidR="00AB3848" w:rsidRPr="00AB3848">
        <w:rPr>
          <w:rFonts w:ascii="Arial" w:hAnsi="Arial" w:cs="Arial"/>
          <w:color w:val="000000" w:themeColor="text1"/>
        </w:rPr>
        <w:t>8</w:t>
      </w:r>
      <w:r w:rsidRPr="00AB3848">
        <w:rPr>
          <w:rFonts w:ascii="Arial" w:hAnsi="Arial" w:cs="Arial"/>
          <w:color w:val="000000" w:themeColor="text1"/>
        </w:rPr>
        <w:t xml:space="preserve">, NTA’s manpower complement consisted of </w:t>
      </w:r>
      <w:r w:rsidR="00AB3848" w:rsidRPr="00AB3848">
        <w:rPr>
          <w:rFonts w:ascii="Arial" w:hAnsi="Arial" w:cs="Arial"/>
          <w:color w:val="000000" w:themeColor="text1"/>
        </w:rPr>
        <w:t>270</w:t>
      </w:r>
      <w:r w:rsidRPr="00AB3848">
        <w:rPr>
          <w:rFonts w:ascii="Arial" w:hAnsi="Arial" w:cs="Arial"/>
          <w:color w:val="000000" w:themeColor="text1"/>
        </w:rPr>
        <w:t xml:space="preserve"> regular personnel and 1</w:t>
      </w:r>
      <w:r w:rsidR="00AB3848" w:rsidRPr="00AB3848">
        <w:rPr>
          <w:rFonts w:ascii="Arial" w:hAnsi="Arial" w:cs="Arial"/>
          <w:color w:val="000000" w:themeColor="text1"/>
        </w:rPr>
        <w:t>8</w:t>
      </w:r>
      <w:r w:rsidRPr="00AB3848">
        <w:rPr>
          <w:rFonts w:ascii="Arial" w:hAnsi="Arial" w:cs="Arial"/>
          <w:color w:val="000000" w:themeColor="text1"/>
        </w:rPr>
        <w:t xml:space="preserve">7 job order employees, of whom </w:t>
      </w:r>
      <w:r w:rsidR="00AB3848" w:rsidRPr="00AB3848">
        <w:rPr>
          <w:rFonts w:ascii="Arial" w:hAnsi="Arial" w:cs="Arial"/>
          <w:color w:val="000000" w:themeColor="text1"/>
        </w:rPr>
        <w:t>42</w:t>
      </w:r>
      <w:r w:rsidRPr="00AB3848">
        <w:rPr>
          <w:rFonts w:ascii="Arial" w:hAnsi="Arial" w:cs="Arial"/>
          <w:color w:val="000000" w:themeColor="text1"/>
        </w:rPr>
        <w:t xml:space="preserve"> were assigned in the Central Office, </w:t>
      </w:r>
      <w:r w:rsidR="00AB3848" w:rsidRPr="00AB3848">
        <w:rPr>
          <w:rFonts w:ascii="Arial" w:hAnsi="Arial" w:cs="Arial"/>
          <w:color w:val="000000" w:themeColor="text1"/>
        </w:rPr>
        <w:t>11</w:t>
      </w:r>
      <w:r w:rsidRPr="00AB3848">
        <w:rPr>
          <w:rFonts w:ascii="Arial" w:hAnsi="Arial" w:cs="Arial"/>
          <w:color w:val="000000" w:themeColor="text1"/>
        </w:rPr>
        <w:t xml:space="preserve">5 in the Branch Offices, </w:t>
      </w:r>
      <w:r w:rsidR="00AB3848" w:rsidRPr="00AB3848">
        <w:rPr>
          <w:rFonts w:ascii="Arial" w:hAnsi="Arial" w:cs="Arial"/>
          <w:color w:val="000000" w:themeColor="text1"/>
        </w:rPr>
        <w:t>2</w:t>
      </w:r>
      <w:r w:rsidRPr="00AB3848">
        <w:rPr>
          <w:rFonts w:ascii="Arial" w:hAnsi="Arial" w:cs="Arial"/>
          <w:color w:val="000000" w:themeColor="text1"/>
        </w:rPr>
        <w:t xml:space="preserve">5 at the AgriPinoy Tobacco Food Processing and Trading Center, and </w:t>
      </w:r>
      <w:r w:rsidR="00B04457">
        <w:rPr>
          <w:rFonts w:ascii="Arial" w:hAnsi="Arial" w:cs="Arial"/>
          <w:color w:val="000000" w:themeColor="text1"/>
        </w:rPr>
        <w:t>five</w:t>
      </w:r>
      <w:r w:rsidRPr="00AB3848">
        <w:rPr>
          <w:rFonts w:ascii="Arial" w:hAnsi="Arial" w:cs="Arial"/>
          <w:color w:val="000000" w:themeColor="text1"/>
        </w:rPr>
        <w:t xml:space="preserve"> at Tobacco Dust Processing Plant in Sto. Tomas, La Union.</w:t>
      </w:r>
    </w:p>
    <w:p w:rsidR="00A7575A" w:rsidRPr="00A7575A" w:rsidRDefault="00A7575A" w:rsidP="005C0558">
      <w:pPr>
        <w:pStyle w:val="NoSpacing"/>
        <w:jc w:val="both"/>
        <w:rPr>
          <w:rFonts w:ascii="Arial" w:hAnsi="Arial" w:cs="Arial"/>
          <w:b/>
          <w:sz w:val="20"/>
          <w:szCs w:val="20"/>
        </w:rPr>
      </w:pPr>
    </w:p>
    <w:p w:rsidR="00A7575A" w:rsidRPr="00A7575A" w:rsidRDefault="00A7575A" w:rsidP="005C0558">
      <w:pPr>
        <w:pStyle w:val="NoSpacing"/>
        <w:jc w:val="both"/>
        <w:rPr>
          <w:rFonts w:ascii="Arial" w:hAnsi="Arial" w:cs="Arial"/>
          <w:b/>
          <w:sz w:val="20"/>
          <w:szCs w:val="20"/>
        </w:rPr>
      </w:pPr>
    </w:p>
    <w:p w:rsidR="004947E8" w:rsidRPr="00650CE4" w:rsidRDefault="004947E8" w:rsidP="005C0558">
      <w:pPr>
        <w:pStyle w:val="NoSpacing"/>
        <w:jc w:val="both"/>
        <w:rPr>
          <w:rFonts w:ascii="Arial" w:hAnsi="Arial" w:cs="Arial"/>
          <w:b/>
        </w:rPr>
      </w:pPr>
      <w:r w:rsidRPr="00650CE4">
        <w:rPr>
          <w:rFonts w:ascii="Arial" w:hAnsi="Arial" w:cs="Arial"/>
          <w:b/>
        </w:rPr>
        <w:t>FINANCIAL HIGHLIGHTS (In Million Pesos)</w:t>
      </w:r>
    </w:p>
    <w:p w:rsidR="00A65F84" w:rsidRPr="00A7575A" w:rsidRDefault="00A65F84" w:rsidP="005C0558">
      <w:pPr>
        <w:pStyle w:val="NoSpacing"/>
        <w:jc w:val="both"/>
        <w:rPr>
          <w:rFonts w:ascii="Arial" w:hAnsi="Arial" w:cs="Arial"/>
          <w:b/>
          <w:sz w:val="18"/>
          <w:szCs w:val="18"/>
        </w:rPr>
      </w:pPr>
    </w:p>
    <w:p w:rsidR="004947E8" w:rsidRPr="00A1086B" w:rsidRDefault="004947E8" w:rsidP="005C0558">
      <w:pPr>
        <w:pStyle w:val="NoSpacing"/>
        <w:jc w:val="both"/>
        <w:rPr>
          <w:rFonts w:ascii="Arial" w:hAnsi="Arial" w:cs="Arial"/>
          <w:b/>
          <w:sz w:val="20"/>
          <w:szCs w:val="20"/>
        </w:rPr>
      </w:pPr>
      <w:r w:rsidRPr="00A1086B">
        <w:rPr>
          <w:rFonts w:ascii="Arial" w:hAnsi="Arial" w:cs="Arial"/>
          <w:b/>
          <w:sz w:val="20"/>
          <w:szCs w:val="20"/>
        </w:rPr>
        <w:t xml:space="preserve">I. </w:t>
      </w:r>
      <w:r w:rsidRPr="00A1086B">
        <w:rPr>
          <w:rFonts w:ascii="Arial" w:hAnsi="Arial" w:cs="Arial"/>
          <w:b/>
          <w:sz w:val="20"/>
          <w:szCs w:val="20"/>
        </w:rPr>
        <w:tab/>
        <w:t>Comparative Financial Position</w:t>
      </w:r>
    </w:p>
    <w:p w:rsidR="004947E8" w:rsidRPr="00A7575A" w:rsidRDefault="004947E8" w:rsidP="005C0558">
      <w:pPr>
        <w:pStyle w:val="NoSpacing"/>
        <w:jc w:val="both"/>
        <w:rPr>
          <w:rFonts w:ascii="Arial" w:hAnsi="Arial" w:cs="Arial"/>
          <w:sz w:val="18"/>
          <w:szCs w:val="18"/>
        </w:rPr>
      </w:pPr>
    </w:p>
    <w:tbl>
      <w:tblPr>
        <w:tblStyle w:val="TableGrid"/>
        <w:tblW w:w="86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1440"/>
        <w:gridCol w:w="1251"/>
        <w:gridCol w:w="1296"/>
      </w:tblGrid>
      <w:tr w:rsidR="004947E8" w:rsidRPr="00A65F84" w:rsidTr="00CF63A8">
        <w:trPr>
          <w:trHeight w:val="89"/>
        </w:trPr>
        <w:tc>
          <w:tcPr>
            <w:tcW w:w="4680" w:type="dxa"/>
            <w:tcBorders>
              <w:top w:val="single" w:sz="4" w:space="0" w:color="auto"/>
              <w:bottom w:val="single" w:sz="4" w:space="0" w:color="auto"/>
            </w:tcBorders>
          </w:tcPr>
          <w:p w:rsidR="004947E8" w:rsidRPr="00A65F84" w:rsidRDefault="004947E8" w:rsidP="00650CE4">
            <w:pPr>
              <w:pStyle w:val="NoSpacing"/>
              <w:ind w:left="-109"/>
              <w:jc w:val="both"/>
              <w:rPr>
                <w:b/>
                <w:color w:val="000000" w:themeColor="text1"/>
                <w:sz w:val="16"/>
                <w:szCs w:val="16"/>
              </w:rPr>
            </w:pPr>
          </w:p>
        </w:tc>
        <w:tc>
          <w:tcPr>
            <w:tcW w:w="1440" w:type="dxa"/>
            <w:tcBorders>
              <w:top w:val="single" w:sz="4" w:space="0" w:color="auto"/>
              <w:bottom w:val="single" w:sz="4" w:space="0" w:color="auto"/>
            </w:tcBorders>
            <w:vAlign w:val="bottom"/>
          </w:tcPr>
          <w:p w:rsidR="004947E8" w:rsidRPr="00A65F84" w:rsidRDefault="004947E8" w:rsidP="00650CE4">
            <w:pPr>
              <w:pStyle w:val="NoSpacing"/>
              <w:jc w:val="right"/>
              <w:rPr>
                <w:b/>
                <w:color w:val="000000" w:themeColor="text1"/>
                <w:sz w:val="16"/>
                <w:szCs w:val="16"/>
              </w:rPr>
            </w:pPr>
            <w:r w:rsidRPr="00A65F84">
              <w:rPr>
                <w:b/>
                <w:color w:val="000000" w:themeColor="text1"/>
                <w:sz w:val="16"/>
                <w:szCs w:val="16"/>
              </w:rPr>
              <w:t>2018</w:t>
            </w:r>
          </w:p>
        </w:tc>
        <w:tc>
          <w:tcPr>
            <w:tcW w:w="1251" w:type="dxa"/>
            <w:tcBorders>
              <w:top w:val="single" w:sz="4" w:space="0" w:color="auto"/>
              <w:bottom w:val="single" w:sz="4" w:space="0" w:color="auto"/>
            </w:tcBorders>
            <w:vAlign w:val="bottom"/>
          </w:tcPr>
          <w:p w:rsidR="004947E8" w:rsidRPr="00A65F84" w:rsidRDefault="004947E8" w:rsidP="00650CE4">
            <w:pPr>
              <w:pStyle w:val="NoSpacing"/>
              <w:jc w:val="right"/>
              <w:rPr>
                <w:b/>
                <w:color w:val="000000" w:themeColor="text1"/>
                <w:sz w:val="16"/>
                <w:szCs w:val="16"/>
              </w:rPr>
            </w:pPr>
            <w:r w:rsidRPr="00A65F84">
              <w:rPr>
                <w:b/>
                <w:color w:val="000000" w:themeColor="text1"/>
                <w:sz w:val="16"/>
                <w:szCs w:val="16"/>
              </w:rPr>
              <w:t>2017</w:t>
            </w:r>
          </w:p>
        </w:tc>
        <w:tc>
          <w:tcPr>
            <w:tcW w:w="1296" w:type="dxa"/>
            <w:tcBorders>
              <w:top w:val="single" w:sz="4" w:space="0" w:color="auto"/>
              <w:bottom w:val="single" w:sz="4" w:space="0" w:color="auto"/>
            </w:tcBorders>
            <w:vAlign w:val="bottom"/>
          </w:tcPr>
          <w:p w:rsidR="004947E8" w:rsidRPr="00A65F84" w:rsidRDefault="004947E8" w:rsidP="006D6577">
            <w:pPr>
              <w:pStyle w:val="NoSpacing"/>
              <w:ind w:right="-76"/>
              <w:jc w:val="right"/>
              <w:rPr>
                <w:b/>
                <w:color w:val="000000" w:themeColor="text1"/>
                <w:sz w:val="16"/>
                <w:szCs w:val="16"/>
              </w:rPr>
            </w:pPr>
            <w:r w:rsidRPr="00A65F84">
              <w:rPr>
                <w:b/>
                <w:color w:val="000000" w:themeColor="text1"/>
                <w:sz w:val="16"/>
                <w:szCs w:val="16"/>
              </w:rPr>
              <w:t>Increase</w:t>
            </w:r>
          </w:p>
        </w:tc>
      </w:tr>
      <w:tr w:rsidR="004947E8" w:rsidRPr="00A65F84" w:rsidTr="00C87772">
        <w:tc>
          <w:tcPr>
            <w:tcW w:w="4680" w:type="dxa"/>
            <w:tcBorders>
              <w:top w:val="single" w:sz="4" w:space="0" w:color="auto"/>
            </w:tcBorders>
            <w:vAlign w:val="bottom"/>
          </w:tcPr>
          <w:p w:rsidR="004947E8" w:rsidRPr="00A65F84" w:rsidRDefault="004947E8" w:rsidP="00650CE4">
            <w:pPr>
              <w:pStyle w:val="NoSpacing"/>
              <w:ind w:left="-109"/>
              <w:jc w:val="both"/>
              <w:rPr>
                <w:color w:val="000000" w:themeColor="text1"/>
                <w:sz w:val="16"/>
                <w:szCs w:val="16"/>
              </w:rPr>
            </w:pPr>
            <w:r w:rsidRPr="00A65F84">
              <w:rPr>
                <w:color w:val="000000" w:themeColor="text1"/>
                <w:sz w:val="16"/>
                <w:szCs w:val="16"/>
              </w:rPr>
              <w:t>Total assets</w:t>
            </w:r>
          </w:p>
        </w:tc>
        <w:tc>
          <w:tcPr>
            <w:tcW w:w="1440" w:type="dxa"/>
            <w:tcBorders>
              <w:top w:val="single" w:sz="4" w:space="0" w:color="auto"/>
            </w:tcBorders>
            <w:vAlign w:val="bottom"/>
          </w:tcPr>
          <w:p w:rsidR="004947E8" w:rsidRPr="00A65F84" w:rsidRDefault="00C87772" w:rsidP="00650CE4">
            <w:pPr>
              <w:pStyle w:val="NoSpacing"/>
              <w:jc w:val="right"/>
              <w:rPr>
                <w:color w:val="000000" w:themeColor="text1"/>
                <w:sz w:val="16"/>
                <w:szCs w:val="16"/>
              </w:rPr>
            </w:pPr>
            <w:r w:rsidRPr="00A65F84">
              <w:rPr>
                <w:color w:val="000000" w:themeColor="text1"/>
                <w:sz w:val="16"/>
                <w:szCs w:val="16"/>
              </w:rPr>
              <w:t>1,820.222</w:t>
            </w:r>
          </w:p>
        </w:tc>
        <w:tc>
          <w:tcPr>
            <w:tcW w:w="1251" w:type="dxa"/>
            <w:tcBorders>
              <w:top w:val="single" w:sz="4" w:space="0" w:color="auto"/>
            </w:tcBorders>
            <w:vAlign w:val="bottom"/>
          </w:tcPr>
          <w:p w:rsidR="004947E8" w:rsidRPr="00A65F84" w:rsidRDefault="004947E8" w:rsidP="00650CE4">
            <w:pPr>
              <w:pStyle w:val="NoSpacing"/>
              <w:jc w:val="right"/>
              <w:rPr>
                <w:color w:val="000000" w:themeColor="text1"/>
                <w:sz w:val="16"/>
                <w:szCs w:val="16"/>
              </w:rPr>
            </w:pPr>
            <w:r w:rsidRPr="00A65F84">
              <w:rPr>
                <w:color w:val="000000" w:themeColor="text1"/>
                <w:sz w:val="16"/>
                <w:szCs w:val="16"/>
              </w:rPr>
              <w:t>1,729.</w:t>
            </w:r>
            <w:r w:rsidR="00C87772" w:rsidRPr="00A65F84">
              <w:rPr>
                <w:color w:val="000000" w:themeColor="text1"/>
                <w:sz w:val="16"/>
                <w:szCs w:val="16"/>
              </w:rPr>
              <w:t>570</w:t>
            </w:r>
          </w:p>
        </w:tc>
        <w:tc>
          <w:tcPr>
            <w:tcW w:w="1296" w:type="dxa"/>
            <w:tcBorders>
              <w:top w:val="single" w:sz="4" w:space="0" w:color="auto"/>
            </w:tcBorders>
            <w:vAlign w:val="bottom"/>
          </w:tcPr>
          <w:p w:rsidR="004947E8" w:rsidRPr="00A65F84" w:rsidRDefault="00B573D6" w:rsidP="00650CE4">
            <w:pPr>
              <w:pStyle w:val="NoSpacing"/>
              <w:ind w:right="-76"/>
              <w:jc w:val="right"/>
              <w:rPr>
                <w:color w:val="000000" w:themeColor="text1"/>
                <w:sz w:val="16"/>
                <w:szCs w:val="16"/>
              </w:rPr>
            </w:pPr>
            <w:r w:rsidRPr="00A65F84">
              <w:rPr>
                <w:color w:val="000000" w:themeColor="text1"/>
                <w:sz w:val="16"/>
                <w:szCs w:val="16"/>
              </w:rPr>
              <w:fldChar w:fldCharType="begin"/>
            </w:r>
            <w:r w:rsidRPr="00A65F84">
              <w:rPr>
                <w:color w:val="000000" w:themeColor="text1"/>
                <w:sz w:val="16"/>
                <w:szCs w:val="16"/>
              </w:rPr>
              <w:instrText xml:space="preserve"> =b2-c2 </w:instrText>
            </w:r>
            <w:r w:rsidRPr="00A65F84">
              <w:rPr>
                <w:color w:val="000000" w:themeColor="text1"/>
                <w:sz w:val="16"/>
                <w:szCs w:val="16"/>
              </w:rPr>
              <w:fldChar w:fldCharType="separate"/>
            </w:r>
            <w:r w:rsidRPr="00A65F84">
              <w:rPr>
                <w:noProof/>
                <w:color w:val="000000" w:themeColor="text1"/>
                <w:sz w:val="16"/>
                <w:szCs w:val="16"/>
              </w:rPr>
              <w:t>90.652</w:t>
            </w:r>
            <w:r w:rsidRPr="00A65F84">
              <w:rPr>
                <w:color w:val="000000" w:themeColor="text1"/>
                <w:sz w:val="16"/>
                <w:szCs w:val="16"/>
              </w:rPr>
              <w:fldChar w:fldCharType="end"/>
            </w:r>
          </w:p>
        </w:tc>
      </w:tr>
      <w:tr w:rsidR="004947E8" w:rsidRPr="00A65F84" w:rsidTr="007D5241">
        <w:tc>
          <w:tcPr>
            <w:tcW w:w="4680" w:type="dxa"/>
            <w:tcBorders>
              <w:bottom w:val="single" w:sz="4" w:space="0" w:color="auto"/>
            </w:tcBorders>
            <w:vAlign w:val="bottom"/>
          </w:tcPr>
          <w:p w:rsidR="004947E8" w:rsidRPr="00A65F84" w:rsidRDefault="004947E8" w:rsidP="00650CE4">
            <w:pPr>
              <w:pStyle w:val="NoSpacing"/>
              <w:ind w:left="-109"/>
              <w:jc w:val="both"/>
              <w:rPr>
                <w:color w:val="000000" w:themeColor="text1"/>
                <w:sz w:val="16"/>
                <w:szCs w:val="16"/>
              </w:rPr>
            </w:pPr>
            <w:r w:rsidRPr="00A65F84">
              <w:rPr>
                <w:color w:val="000000" w:themeColor="text1"/>
                <w:sz w:val="16"/>
                <w:szCs w:val="16"/>
              </w:rPr>
              <w:t>Total liabilities</w:t>
            </w:r>
          </w:p>
        </w:tc>
        <w:tc>
          <w:tcPr>
            <w:tcW w:w="1440" w:type="dxa"/>
            <w:tcBorders>
              <w:bottom w:val="single" w:sz="4" w:space="0" w:color="auto"/>
            </w:tcBorders>
            <w:vAlign w:val="bottom"/>
          </w:tcPr>
          <w:p w:rsidR="004947E8" w:rsidRPr="00A65F84" w:rsidRDefault="00C87772" w:rsidP="00650CE4">
            <w:pPr>
              <w:pStyle w:val="NoSpacing"/>
              <w:jc w:val="right"/>
              <w:rPr>
                <w:color w:val="000000" w:themeColor="text1"/>
                <w:sz w:val="16"/>
                <w:szCs w:val="16"/>
              </w:rPr>
            </w:pPr>
            <w:r w:rsidRPr="00A65F84">
              <w:rPr>
                <w:color w:val="000000" w:themeColor="text1"/>
                <w:sz w:val="16"/>
                <w:szCs w:val="16"/>
              </w:rPr>
              <w:t>239.731</w:t>
            </w:r>
          </w:p>
        </w:tc>
        <w:tc>
          <w:tcPr>
            <w:tcW w:w="1251" w:type="dxa"/>
            <w:tcBorders>
              <w:bottom w:val="single" w:sz="4" w:space="0" w:color="auto"/>
            </w:tcBorders>
            <w:vAlign w:val="bottom"/>
          </w:tcPr>
          <w:p w:rsidR="004947E8" w:rsidRPr="00A65F84" w:rsidRDefault="00F67527" w:rsidP="00650CE4">
            <w:pPr>
              <w:pStyle w:val="NoSpacing"/>
              <w:jc w:val="right"/>
              <w:rPr>
                <w:color w:val="000000" w:themeColor="text1"/>
                <w:sz w:val="16"/>
                <w:szCs w:val="16"/>
              </w:rPr>
            </w:pPr>
            <w:r>
              <w:rPr>
                <w:color w:val="000000" w:themeColor="text1"/>
                <w:sz w:val="16"/>
                <w:szCs w:val="16"/>
              </w:rPr>
              <w:t>179.668</w:t>
            </w:r>
          </w:p>
        </w:tc>
        <w:tc>
          <w:tcPr>
            <w:tcW w:w="1296" w:type="dxa"/>
            <w:tcBorders>
              <w:bottom w:val="single" w:sz="4" w:space="0" w:color="auto"/>
            </w:tcBorders>
            <w:vAlign w:val="bottom"/>
          </w:tcPr>
          <w:p w:rsidR="004947E8" w:rsidRPr="00A65F84" w:rsidRDefault="00B573D6" w:rsidP="00F67527">
            <w:pPr>
              <w:pStyle w:val="NoSpacing"/>
              <w:ind w:right="-76"/>
              <w:jc w:val="right"/>
              <w:rPr>
                <w:color w:val="000000" w:themeColor="text1"/>
                <w:sz w:val="16"/>
                <w:szCs w:val="16"/>
              </w:rPr>
            </w:pPr>
            <w:r w:rsidRPr="00A65F84">
              <w:rPr>
                <w:color w:val="000000" w:themeColor="text1"/>
                <w:sz w:val="16"/>
                <w:szCs w:val="16"/>
              </w:rPr>
              <w:fldChar w:fldCharType="begin"/>
            </w:r>
            <w:r w:rsidRPr="00A65F84">
              <w:rPr>
                <w:color w:val="000000" w:themeColor="text1"/>
                <w:sz w:val="16"/>
                <w:szCs w:val="16"/>
              </w:rPr>
              <w:instrText xml:space="preserve"> =b3-c3 \# "#,###.###;(#,###.###)" </w:instrText>
            </w:r>
            <w:r w:rsidRPr="00A65F84">
              <w:rPr>
                <w:color w:val="000000" w:themeColor="text1"/>
                <w:sz w:val="16"/>
                <w:szCs w:val="16"/>
              </w:rPr>
              <w:fldChar w:fldCharType="separate"/>
            </w:r>
            <w:r w:rsidRPr="00A65F84">
              <w:rPr>
                <w:noProof/>
                <w:color w:val="000000" w:themeColor="text1"/>
                <w:sz w:val="16"/>
                <w:szCs w:val="16"/>
              </w:rPr>
              <w:t xml:space="preserve">  6</w:t>
            </w:r>
            <w:r w:rsidRPr="00A65F84">
              <w:rPr>
                <w:color w:val="000000" w:themeColor="text1"/>
                <w:sz w:val="16"/>
                <w:szCs w:val="16"/>
              </w:rPr>
              <w:fldChar w:fldCharType="end"/>
            </w:r>
            <w:r w:rsidR="00F67527">
              <w:rPr>
                <w:color w:val="000000" w:themeColor="text1"/>
                <w:sz w:val="16"/>
                <w:szCs w:val="16"/>
              </w:rPr>
              <w:t>0.063</w:t>
            </w:r>
          </w:p>
        </w:tc>
      </w:tr>
      <w:tr w:rsidR="004947E8" w:rsidRPr="00A65F84" w:rsidTr="007D5241">
        <w:trPr>
          <w:trHeight w:val="189"/>
        </w:trPr>
        <w:tc>
          <w:tcPr>
            <w:tcW w:w="4680" w:type="dxa"/>
            <w:tcBorders>
              <w:top w:val="single" w:sz="4" w:space="0" w:color="auto"/>
              <w:bottom w:val="double" w:sz="4" w:space="0" w:color="auto"/>
            </w:tcBorders>
            <w:vAlign w:val="bottom"/>
          </w:tcPr>
          <w:p w:rsidR="004947E8" w:rsidRPr="00A65F84" w:rsidRDefault="004947E8" w:rsidP="00650CE4">
            <w:pPr>
              <w:pStyle w:val="NoSpacing"/>
              <w:ind w:left="-109"/>
              <w:jc w:val="both"/>
              <w:rPr>
                <w:color w:val="000000" w:themeColor="text1"/>
                <w:sz w:val="16"/>
                <w:szCs w:val="16"/>
              </w:rPr>
            </w:pPr>
            <w:r w:rsidRPr="00A65F84">
              <w:rPr>
                <w:color w:val="000000" w:themeColor="text1"/>
                <w:sz w:val="16"/>
                <w:szCs w:val="16"/>
              </w:rPr>
              <w:t>Net assets/equity</w:t>
            </w:r>
          </w:p>
        </w:tc>
        <w:tc>
          <w:tcPr>
            <w:tcW w:w="1440" w:type="dxa"/>
            <w:tcBorders>
              <w:top w:val="single" w:sz="4" w:space="0" w:color="auto"/>
              <w:bottom w:val="double" w:sz="4" w:space="0" w:color="auto"/>
            </w:tcBorders>
            <w:vAlign w:val="bottom"/>
          </w:tcPr>
          <w:p w:rsidR="004947E8" w:rsidRPr="00A65F84" w:rsidRDefault="00C87772" w:rsidP="00650CE4">
            <w:pPr>
              <w:pStyle w:val="NoSpacing"/>
              <w:jc w:val="right"/>
              <w:rPr>
                <w:color w:val="000000" w:themeColor="text1"/>
                <w:sz w:val="16"/>
                <w:szCs w:val="16"/>
              </w:rPr>
            </w:pPr>
            <w:r w:rsidRPr="00A65F84">
              <w:rPr>
                <w:color w:val="000000" w:themeColor="text1"/>
                <w:sz w:val="16"/>
                <w:szCs w:val="16"/>
              </w:rPr>
              <w:fldChar w:fldCharType="begin"/>
            </w:r>
            <w:r w:rsidRPr="00A65F84">
              <w:rPr>
                <w:color w:val="000000" w:themeColor="text1"/>
                <w:sz w:val="16"/>
                <w:szCs w:val="16"/>
              </w:rPr>
              <w:instrText xml:space="preserve"> =b2-b3 </w:instrText>
            </w:r>
            <w:r w:rsidRPr="00A65F84">
              <w:rPr>
                <w:color w:val="000000" w:themeColor="text1"/>
                <w:sz w:val="16"/>
                <w:szCs w:val="16"/>
              </w:rPr>
              <w:fldChar w:fldCharType="separate"/>
            </w:r>
            <w:r w:rsidRPr="00A65F84">
              <w:rPr>
                <w:noProof/>
                <w:color w:val="000000" w:themeColor="text1"/>
                <w:sz w:val="16"/>
                <w:szCs w:val="16"/>
              </w:rPr>
              <w:t>1,580.491</w:t>
            </w:r>
            <w:r w:rsidRPr="00A65F84">
              <w:rPr>
                <w:color w:val="000000" w:themeColor="text1"/>
                <w:sz w:val="16"/>
                <w:szCs w:val="16"/>
              </w:rPr>
              <w:fldChar w:fldCharType="end"/>
            </w:r>
          </w:p>
        </w:tc>
        <w:tc>
          <w:tcPr>
            <w:tcW w:w="1251" w:type="dxa"/>
            <w:tcBorders>
              <w:top w:val="single" w:sz="4" w:space="0" w:color="auto"/>
              <w:bottom w:val="double" w:sz="4" w:space="0" w:color="auto"/>
            </w:tcBorders>
            <w:vAlign w:val="bottom"/>
          </w:tcPr>
          <w:p w:rsidR="004947E8" w:rsidRPr="00A65F84" w:rsidRDefault="00C87772" w:rsidP="00F67527">
            <w:pPr>
              <w:pStyle w:val="NoSpacing"/>
              <w:jc w:val="right"/>
              <w:rPr>
                <w:color w:val="000000" w:themeColor="text1"/>
                <w:sz w:val="16"/>
                <w:szCs w:val="16"/>
              </w:rPr>
            </w:pPr>
            <w:r w:rsidRPr="00A65F84">
              <w:rPr>
                <w:color w:val="000000" w:themeColor="text1"/>
                <w:sz w:val="16"/>
                <w:szCs w:val="16"/>
              </w:rPr>
              <w:fldChar w:fldCharType="begin"/>
            </w:r>
            <w:r w:rsidRPr="00A65F84">
              <w:rPr>
                <w:color w:val="000000" w:themeColor="text1"/>
                <w:sz w:val="16"/>
                <w:szCs w:val="16"/>
              </w:rPr>
              <w:instrText xml:space="preserve"> =c2-c3 </w:instrText>
            </w:r>
            <w:r w:rsidRPr="00A65F84">
              <w:rPr>
                <w:color w:val="000000" w:themeColor="text1"/>
                <w:sz w:val="16"/>
                <w:szCs w:val="16"/>
              </w:rPr>
              <w:fldChar w:fldCharType="separate"/>
            </w:r>
            <w:r w:rsidRPr="00A65F84">
              <w:rPr>
                <w:noProof/>
                <w:color w:val="000000" w:themeColor="text1"/>
                <w:sz w:val="16"/>
                <w:szCs w:val="16"/>
              </w:rPr>
              <w:t>1,5</w:t>
            </w:r>
            <w:r w:rsidRPr="00A65F84">
              <w:rPr>
                <w:color w:val="000000" w:themeColor="text1"/>
                <w:sz w:val="16"/>
                <w:szCs w:val="16"/>
              </w:rPr>
              <w:fldChar w:fldCharType="end"/>
            </w:r>
            <w:r w:rsidR="00F67527">
              <w:rPr>
                <w:color w:val="000000" w:themeColor="text1"/>
                <w:sz w:val="16"/>
                <w:szCs w:val="16"/>
              </w:rPr>
              <w:t>49.902</w:t>
            </w:r>
          </w:p>
        </w:tc>
        <w:tc>
          <w:tcPr>
            <w:tcW w:w="1296" w:type="dxa"/>
            <w:tcBorders>
              <w:top w:val="single" w:sz="4" w:space="0" w:color="auto"/>
              <w:bottom w:val="double" w:sz="4" w:space="0" w:color="auto"/>
            </w:tcBorders>
            <w:vAlign w:val="bottom"/>
          </w:tcPr>
          <w:p w:rsidR="004947E8" w:rsidRPr="00A65F84" w:rsidRDefault="00F67527" w:rsidP="00F67527">
            <w:pPr>
              <w:pStyle w:val="NoSpacing"/>
              <w:ind w:right="-76"/>
              <w:jc w:val="right"/>
              <w:rPr>
                <w:color w:val="000000" w:themeColor="text1"/>
                <w:sz w:val="16"/>
                <w:szCs w:val="16"/>
              </w:rPr>
            </w:pPr>
            <w:r>
              <w:rPr>
                <w:color w:val="000000" w:themeColor="text1"/>
                <w:sz w:val="16"/>
                <w:szCs w:val="16"/>
              </w:rPr>
              <w:t>30.589</w:t>
            </w:r>
            <w:r w:rsidRPr="00A65F84">
              <w:rPr>
                <w:color w:val="000000" w:themeColor="text1"/>
                <w:sz w:val="16"/>
                <w:szCs w:val="16"/>
              </w:rPr>
              <w:t xml:space="preserve"> </w:t>
            </w:r>
          </w:p>
        </w:tc>
      </w:tr>
    </w:tbl>
    <w:p w:rsidR="004947E8" w:rsidRPr="00A7575A" w:rsidRDefault="004947E8" w:rsidP="005C0558">
      <w:pPr>
        <w:pStyle w:val="NoSpacing"/>
        <w:jc w:val="both"/>
        <w:rPr>
          <w:rFonts w:ascii="Arial" w:hAnsi="Arial" w:cs="Arial"/>
          <w:sz w:val="18"/>
          <w:szCs w:val="18"/>
        </w:rPr>
      </w:pPr>
    </w:p>
    <w:p w:rsidR="004947E8" w:rsidRPr="00A1086B" w:rsidRDefault="004947E8" w:rsidP="005C0558">
      <w:pPr>
        <w:pStyle w:val="NoSpacing"/>
        <w:jc w:val="both"/>
        <w:rPr>
          <w:rFonts w:ascii="Arial" w:hAnsi="Arial" w:cs="Arial"/>
          <w:b/>
          <w:sz w:val="20"/>
          <w:szCs w:val="20"/>
        </w:rPr>
      </w:pPr>
      <w:r w:rsidRPr="00A1086B">
        <w:rPr>
          <w:rFonts w:ascii="Arial" w:hAnsi="Arial" w:cs="Arial"/>
          <w:b/>
          <w:sz w:val="20"/>
          <w:szCs w:val="20"/>
        </w:rPr>
        <w:t xml:space="preserve">II. </w:t>
      </w:r>
      <w:r w:rsidRPr="00A1086B">
        <w:rPr>
          <w:rFonts w:ascii="Arial" w:hAnsi="Arial" w:cs="Arial"/>
          <w:b/>
          <w:sz w:val="20"/>
          <w:szCs w:val="20"/>
        </w:rPr>
        <w:tab/>
        <w:t>Comparative Financial Performance</w:t>
      </w:r>
    </w:p>
    <w:p w:rsidR="00650CE4" w:rsidRPr="00A7575A" w:rsidRDefault="00650CE4" w:rsidP="005C0558">
      <w:pPr>
        <w:pStyle w:val="NoSpacing"/>
        <w:jc w:val="both"/>
        <w:rPr>
          <w:rFonts w:ascii="Arial" w:hAnsi="Arial" w:cs="Arial"/>
          <w:sz w:val="18"/>
          <w:szCs w:val="18"/>
        </w:rPr>
      </w:pPr>
    </w:p>
    <w:tbl>
      <w:tblPr>
        <w:tblStyle w:val="TableGrid"/>
        <w:tblW w:w="86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1440"/>
        <w:gridCol w:w="1251"/>
        <w:gridCol w:w="1296"/>
      </w:tblGrid>
      <w:tr w:rsidR="004947E8" w:rsidRPr="00AC196A" w:rsidTr="00C87772">
        <w:tc>
          <w:tcPr>
            <w:tcW w:w="4680" w:type="dxa"/>
            <w:tcBorders>
              <w:top w:val="single" w:sz="4" w:space="0" w:color="auto"/>
              <w:bottom w:val="single" w:sz="4" w:space="0" w:color="auto"/>
            </w:tcBorders>
          </w:tcPr>
          <w:p w:rsidR="004947E8" w:rsidRPr="00A1086B" w:rsidRDefault="004947E8" w:rsidP="00650CE4">
            <w:pPr>
              <w:pStyle w:val="NoSpacing"/>
              <w:ind w:left="-109"/>
              <w:jc w:val="both"/>
              <w:rPr>
                <w:b/>
                <w:color w:val="000000" w:themeColor="text1"/>
                <w:sz w:val="16"/>
                <w:szCs w:val="16"/>
              </w:rPr>
            </w:pPr>
          </w:p>
        </w:tc>
        <w:tc>
          <w:tcPr>
            <w:tcW w:w="1440" w:type="dxa"/>
            <w:tcBorders>
              <w:top w:val="single" w:sz="4" w:space="0" w:color="auto"/>
              <w:bottom w:val="single" w:sz="4" w:space="0" w:color="auto"/>
            </w:tcBorders>
            <w:vAlign w:val="bottom"/>
          </w:tcPr>
          <w:p w:rsidR="004947E8" w:rsidRPr="00A1086B" w:rsidRDefault="004947E8" w:rsidP="00650CE4">
            <w:pPr>
              <w:pStyle w:val="NoSpacing"/>
              <w:jc w:val="right"/>
              <w:rPr>
                <w:b/>
                <w:color w:val="000000" w:themeColor="text1"/>
                <w:sz w:val="16"/>
                <w:szCs w:val="16"/>
              </w:rPr>
            </w:pPr>
            <w:r w:rsidRPr="00A1086B">
              <w:rPr>
                <w:b/>
                <w:color w:val="000000" w:themeColor="text1"/>
                <w:sz w:val="16"/>
                <w:szCs w:val="16"/>
              </w:rPr>
              <w:t>2018</w:t>
            </w:r>
          </w:p>
        </w:tc>
        <w:tc>
          <w:tcPr>
            <w:tcW w:w="1251" w:type="dxa"/>
            <w:tcBorders>
              <w:top w:val="single" w:sz="4" w:space="0" w:color="auto"/>
              <w:bottom w:val="single" w:sz="4" w:space="0" w:color="auto"/>
            </w:tcBorders>
            <w:vAlign w:val="bottom"/>
          </w:tcPr>
          <w:p w:rsidR="004947E8" w:rsidRPr="00A1086B" w:rsidRDefault="004947E8" w:rsidP="00650CE4">
            <w:pPr>
              <w:pStyle w:val="NoSpacing"/>
              <w:jc w:val="right"/>
              <w:rPr>
                <w:b/>
                <w:color w:val="000000" w:themeColor="text1"/>
                <w:sz w:val="16"/>
                <w:szCs w:val="16"/>
              </w:rPr>
            </w:pPr>
            <w:r w:rsidRPr="00A1086B">
              <w:rPr>
                <w:b/>
                <w:color w:val="000000" w:themeColor="text1"/>
                <w:sz w:val="16"/>
                <w:szCs w:val="16"/>
              </w:rPr>
              <w:t>2017</w:t>
            </w:r>
          </w:p>
        </w:tc>
        <w:tc>
          <w:tcPr>
            <w:tcW w:w="1296" w:type="dxa"/>
            <w:tcBorders>
              <w:top w:val="single" w:sz="4" w:space="0" w:color="auto"/>
              <w:bottom w:val="single" w:sz="4" w:space="0" w:color="auto"/>
            </w:tcBorders>
            <w:vAlign w:val="bottom"/>
          </w:tcPr>
          <w:p w:rsidR="004947E8" w:rsidRPr="00A1086B" w:rsidRDefault="004947E8" w:rsidP="00650CE4">
            <w:pPr>
              <w:pStyle w:val="NoSpacing"/>
              <w:ind w:right="-76"/>
              <w:jc w:val="right"/>
              <w:rPr>
                <w:b/>
                <w:color w:val="000000" w:themeColor="text1"/>
                <w:sz w:val="16"/>
                <w:szCs w:val="16"/>
              </w:rPr>
            </w:pPr>
            <w:r w:rsidRPr="00A1086B">
              <w:rPr>
                <w:b/>
                <w:color w:val="000000" w:themeColor="text1"/>
                <w:sz w:val="16"/>
                <w:szCs w:val="16"/>
              </w:rPr>
              <w:t>Increase</w:t>
            </w:r>
          </w:p>
          <w:p w:rsidR="004947E8" w:rsidRPr="00A1086B" w:rsidRDefault="004947E8" w:rsidP="00650CE4">
            <w:pPr>
              <w:pStyle w:val="NoSpacing"/>
              <w:ind w:right="-76"/>
              <w:jc w:val="right"/>
              <w:rPr>
                <w:b/>
                <w:color w:val="000000" w:themeColor="text1"/>
                <w:sz w:val="16"/>
                <w:szCs w:val="16"/>
              </w:rPr>
            </w:pPr>
            <w:r w:rsidRPr="00A1086B">
              <w:rPr>
                <w:b/>
                <w:color w:val="000000" w:themeColor="text1"/>
                <w:sz w:val="16"/>
                <w:szCs w:val="16"/>
              </w:rPr>
              <w:t>(Decrease)</w:t>
            </w:r>
          </w:p>
        </w:tc>
      </w:tr>
      <w:tr w:rsidR="004947E8" w:rsidRPr="00AC196A" w:rsidTr="00C87772">
        <w:tc>
          <w:tcPr>
            <w:tcW w:w="4680" w:type="dxa"/>
            <w:tcBorders>
              <w:top w:val="single" w:sz="4" w:space="0" w:color="auto"/>
            </w:tcBorders>
            <w:vAlign w:val="bottom"/>
          </w:tcPr>
          <w:p w:rsidR="004947E8" w:rsidRPr="00A1086B" w:rsidRDefault="004947E8" w:rsidP="00650CE4">
            <w:pPr>
              <w:pStyle w:val="NoSpacing"/>
              <w:ind w:left="-109"/>
              <w:jc w:val="both"/>
              <w:rPr>
                <w:color w:val="000000" w:themeColor="text1"/>
                <w:sz w:val="16"/>
                <w:szCs w:val="16"/>
              </w:rPr>
            </w:pPr>
            <w:r w:rsidRPr="00A1086B">
              <w:rPr>
                <w:color w:val="000000" w:themeColor="text1"/>
                <w:sz w:val="16"/>
                <w:szCs w:val="16"/>
              </w:rPr>
              <w:t>Total revenues</w:t>
            </w:r>
          </w:p>
        </w:tc>
        <w:tc>
          <w:tcPr>
            <w:tcW w:w="1440" w:type="dxa"/>
            <w:tcBorders>
              <w:top w:val="single" w:sz="4" w:space="0" w:color="auto"/>
            </w:tcBorders>
            <w:vAlign w:val="bottom"/>
          </w:tcPr>
          <w:p w:rsidR="004947E8" w:rsidRPr="00A1086B" w:rsidRDefault="00C87772" w:rsidP="00650CE4">
            <w:pPr>
              <w:pStyle w:val="NoSpacing"/>
              <w:jc w:val="right"/>
              <w:rPr>
                <w:color w:val="000000" w:themeColor="text1"/>
                <w:sz w:val="16"/>
                <w:szCs w:val="16"/>
              </w:rPr>
            </w:pPr>
            <w:r w:rsidRPr="00A1086B">
              <w:rPr>
                <w:color w:val="000000" w:themeColor="text1"/>
                <w:sz w:val="16"/>
                <w:szCs w:val="16"/>
              </w:rPr>
              <w:t>161.900</w:t>
            </w:r>
          </w:p>
        </w:tc>
        <w:tc>
          <w:tcPr>
            <w:tcW w:w="1251" w:type="dxa"/>
            <w:tcBorders>
              <w:top w:val="single" w:sz="4" w:space="0" w:color="auto"/>
            </w:tcBorders>
            <w:vAlign w:val="bottom"/>
          </w:tcPr>
          <w:p w:rsidR="004947E8" w:rsidRPr="00A1086B" w:rsidRDefault="00C87772" w:rsidP="00650CE4">
            <w:pPr>
              <w:pStyle w:val="NoSpacing"/>
              <w:jc w:val="right"/>
              <w:rPr>
                <w:color w:val="000000" w:themeColor="text1"/>
                <w:sz w:val="16"/>
                <w:szCs w:val="16"/>
              </w:rPr>
            </w:pPr>
            <w:r w:rsidRPr="00A1086B">
              <w:rPr>
                <w:color w:val="000000" w:themeColor="text1"/>
                <w:sz w:val="16"/>
                <w:szCs w:val="16"/>
              </w:rPr>
              <w:t>153.191</w:t>
            </w:r>
          </w:p>
        </w:tc>
        <w:tc>
          <w:tcPr>
            <w:tcW w:w="1296" w:type="dxa"/>
            <w:tcBorders>
              <w:top w:val="single" w:sz="4" w:space="0" w:color="auto"/>
            </w:tcBorders>
            <w:vAlign w:val="bottom"/>
          </w:tcPr>
          <w:p w:rsidR="004947E8" w:rsidRPr="00A1086B" w:rsidRDefault="00B573D6" w:rsidP="00650CE4">
            <w:pPr>
              <w:pStyle w:val="NoSpacing"/>
              <w:ind w:right="-76"/>
              <w:jc w:val="right"/>
              <w:rPr>
                <w:color w:val="000000" w:themeColor="text1"/>
                <w:sz w:val="16"/>
                <w:szCs w:val="16"/>
              </w:rPr>
            </w:pPr>
            <w:r w:rsidRPr="00A1086B">
              <w:rPr>
                <w:color w:val="000000" w:themeColor="text1"/>
                <w:sz w:val="16"/>
                <w:szCs w:val="16"/>
              </w:rPr>
              <w:fldChar w:fldCharType="begin"/>
            </w:r>
            <w:r w:rsidRPr="00A1086B">
              <w:rPr>
                <w:color w:val="000000" w:themeColor="text1"/>
                <w:sz w:val="16"/>
                <w:szCs w:val="16"/>
              </w:rPr>
              <w:instrText xml:space="preserve"> =b2-c2 </w:instrText>
            </w:r>
            <w:r w:rsidRPr="00A1086B">
              <w:rPr>
                <w:color w:val="000000" w:themeColor="text1"/>
                <w:sz w:val="16"/>
                <w:szCs w:val="16"/>
              </w:rPr>
              <w:fldChar w:fldCharType="separate"/>
            </w:r>
            <w:r w:rsidRPr="00A1086B">
              <w:rPr>
                <w:noProof/>
                <w:color w:val="000000" w:themeColor="text1"/>
                <w:sz w:val="16"/>
                <w:szCs w:val="16"/>
              </w:rPr>
              <w:t>8.709</w:t>
            </w:r>
            <w:r w:rsidRPr="00A1086B">
              <w:rPr>
                <w:color w:val="000000" w:themeColor="text1"/>
                <w:sz w:val="16"/>
                <w:szCs w:val="16"/>
              </w:rPr>
              <w:fldChar w:fldCharType="end"/>
            </w:r>
          </w:p>
        </w:tc>
      </w:tr>
      <w:tr w:rsidR="004947E8" w:rsidRPr="00AC196A" w:rsidTr="00C87772">
        <w:tc>
          <w:tcPr>
            <w:tcW w:w="4680" w:type="dxa"/>
            <w:vAlign w:val="bottom"/>
          </w:tcPr>
          <w:p w:rsidR="004947E8" w:rsidRPr="00A1086B" w:rsidRDefault="004947E8" w:rsidP="00650CE4">
            <w:pPr>
              <w:pStyle w:val="NoSpacing"/>
              <w:ind w:left="-109"/>
              <w:jc w:val="both"/>
              <w:rPr>
                <w:color w:val="000000" w:themeColor="text1"/>
                <w:sz w:val="16"/>
                <w:szCs w:val="16"/>
              </w:rPr>
            </w:pPr>
            <w:r w:rsidRPr="00A1086B">
              <w:rPr>
                <w:color w:val="000000" w:themeColor="text1"/>
                <w:sz w:val="16"/>
                <w:szCs w:val="16"/>
              </w:rPr>
              <w:t>Total operating expenses</w:t>
            </w:r>
          </w:p>
        </w:tc>
        <w:tc>
          <w:tcPr>
            <w:tcW w:w="1440" w:type="dxa"/>
            <w:vAlign w:val="bottom"/>
          </w:tcPr>
          <w:p w:rsidR="004947E8" w:rsidRPr="00A1086B" w:rsidRDefault="00C87772" w:rsidP="00650CE4">
            <w:pPr>
              <w:pStyle w:val="NoSpacing"/>
              <w:jc w:val="right"/>
              <w:rPr>
                <w:color w:val="000000" w:themeColor="text1"/>
                <w:sz w:val="16"/>
                <w:szCs w:val="16"/>
              </w:rPr>
            </w:pPr>
            <w:r w:rsidRPr="00A1086B">
              <w:rPr>
                <w:color w:val="000000" w:themeColor="text1"/>
                <w:sz w:val="16"/>
                <w:szCs w:val="16"/>
              </w:rPr>
              <w:t>462.920</w:t>
            </w:r>
          </w:p>
        </w:tc>
        <w:tc>
          <w:tcPr>
            <w:tcW w:w="1251" w:type="dxa"/>
            <w:vAlign w:val="bottom"/>
          </w:tcPr>
          <w:p w:rsidR="004947E8" w:rsidRPr="00A1086B" w:rsidRDefault="004947E8" w:rsidP="00650CE4">
            <w:pPr>
              <w:pStyle w:val="NoSpacing"/>
              <w:jc w:val="right"/>
              <w:rPr>
                <w:color w:val="000000" w:themeColor="text1"/>
                <w:sz w:val="16"/>
                <w:szCs w:val="16"/>
              </w:rPr>
            </w:pPr>
            <w:r w:rsidRPr="00A1086B">
              <w:rPr>
                <w:color w:val="000000" w:themeColor="text1"/>
                <w:sz w:val="16"/>
                <w:szCs w:val="16"/>
              </w:rPr>
              <w:t>4</w:t>
            </w:r>
            <w:r w:rsidR="00C87772" w:rsidRPr="00A1086B">
              <w:rPr>
                <w:color w:val="000000" w:themeColor="text1"/>
                <w:sz w:val="16"/>
                <w:szCs w:val="16"/>
              </w:rPr>
              <w:t>10.913</w:t>
            </w:r>
          </w:p>
        </w:tc>
        <w:tc>
          <w:tcPr>
            <w:tcW w:w="1296" w:type="dxa"/>
            <w:vAlign w:val="bottom"/>
          </w:tcPr>
          <w:p w:rsidR="004947E8" w:rsidRPr="00A1086B" w:rsidRDefault="00B573D6" w:rsidP="00650CE4">
            <w:pPr>
              <w:pStyle w:val="NoSpacing"/>
              <w:ind w:right="-76"/>
              <w:jc w:val="right"/>
              <w:rPr>
                <w:color w:val="000000" w:themeColor="text1"/>
                <w:sz w:val="16"/>
                <w:szCs w:val="16"/>
              </w:rPr>
            </w:pPr>
            <w:r w:rsidRPr="00A1086B">
              <w:rPr>
                <w:color w:val="000000" w:themeColor="text1"/>
                <w:sz w:val="16"/>
                <w:szCs w:val="16"/>
              </w:rPr>
              <w:fldChar w:fldCharType="begin"/>
            </w:r>
            <w:r w:rsidRPr="00A1086B">
              <w:rPr>
                <w:color w:val="000000" w:themeColor="text1"/>
                <w:sz w:val="16"/>
                <w:szCs w:val="16"/>
              </w:rPr>
              <w:instrText xml:space="preserve"> =b3-c3 </w:instrText>
            </w:r>
            <w:r w:rsidRPr="00A1086B">
              <w:rPr>
                <w:color w:val="000000" w:themeColor="text1"/>
                <w:sz w:val="16"/>
                <w:szCs w:val="16"/>
              </w:rPr>
              <w:fldChar w:fldCharType="separate"/>
            </w:r>
            <w:r w:rsidRPr="00A1086B">
              <w:rPr>
                <w:noProof/>
                <w:color w:val="000000" w:themeColor="text1"/>
                <w:sz w:val="16"/>
                <w:szCs w:val="16"/>
              </w:rPr>
              <w:t>52.007</w:t>
            </w:r>
            <w:r w:rsidRPr="00A1086B">
              <w:rPr>
                <w:color w:val="000000" w:themeColor="text1"/>
                <w:sz w:val="16"/>
                <w:szCs w:val="16"/>
              </w:rPr>
              <w:fldChar w:fldCharType="end"/>
            </w:r>
          </w:p>
        </w:tc>
      </w:tr>
      <w:tr w:rsidR="004947E8" w:rsidRPr="00AC196A" w:rsidTr="00C87772">
        <w:tc>
          <w:tcPr>
            <w:tcW w:w="4680" w:type="dxa"/>
            <w:vAlign w:val="bottom"/>
          </w:tcPr>
          <w:p w:rsidR="004947E8" w:rsidRPr="00A1086B" w:rsidRDefault="004947E8" w:rsidP="00650CE4">
            <w:pPr>
              <w:pStyle w:val="NoSpacing"/>
              <w:ind w:left="-109"/>
              <w:jc w:val="both"/>
              <w:rPr>
                <w:color w:val="000000" w:themeColor="text1"/>
                <w:sz w:val="16"/>
                <w:szCs w:val="16"/>
              </w:rPr>
            </w:pPr>
            <w:r w:rsidRPr="00A1086B">
              <w:rPr>
                <w:color w:val="000000" w:themeColor="text1"/>
                <w:sz w:val="16"/>
                <w:szCs w:val="16"/>
              </w:rPr>
              <w:t>Deficit from current operations</w:t>
            </w:r>
          </w:p>
        </w:tc>
        <w:tc>
          <w:tcPr>
            <w:tcW w:w="1440" w:type="dxa"/>
            <w:vAlign w:val="bottom"/>
          </w:tcPr>
          <w:p w:rsidR="004947E8" w:rsidRPr="00A1086B" w:rsidRDefault="00C87772" w:rsidP="00650CE4">
            <w:pPr>
              <w:pStyle w:val="NoSpacing"/>
              <w:jc w:val="right"/>
              <w:rPr>
                <w:color w:val="000000" w:themeColor="text1"/>
                <w:sz w:val="16"/>
                <w:szCs w:val="16"/>
              </w:rPr>
            </w:pPr>
            <w:r w:rsidRPr="00A1086B">
              <w:rPr>
                <w:color w:val="000000" w:themeColor="text1"/>
                <w:sz w:val="16"/>
                <w:szCs w:val="16"/>
              </w:rPr>
              <w:fldChar w:fldCharType="begin"/>
            </w:r>
            <w:r w:rsidRPr="00A1086B">
              <w:rPr>
                <w:color w:val="000000" w:themeColor="text1"/>
                <w:sz w:val="16"/>
                <w:szCs w:val="16"/>
              </w:rPr>
              <w:instrText xml:space="preserve"> =b2-b3 \# "##0;(##0.000)" </w:instrText>
            </w:r>
            <w:r w:rsidRPr="00A1086B">
              <w:rPr>
                <w:color w:val="000000" w:themeColor="text1"/>
                <w:sz w:val="16"/>
                <w:szCs w:val="16"/>
              </w:rPr>
              <w:fldChar w:fldCharType="separate"/>
            </w:r>
            <w:r w:rsidRPr="00A1086B">
              <w:rPr>
                <w:noProof/>
                <w:color w:val="000000" w:themeColor="text1"/>
                <w:sz w:val="16"/>
                <w:szCs w:val="16"/>
              </w:rPr>
              <w:t>(301.020)</w:t>
            </w:r>
            <w:r w:rsidRPr="00A1086B">
              <w:rPr>
                <w:color w:val="000000" w:themeColor="text1"/>
                <w:sz w:val="16"/>
                <w:szCs w:val="16"/>
              </w:rPr>
              <w:fldChar w:fldCharType="end"/>
            </w:r>
          </w:p>
        </w:tc>
        <w:tc>
          <w:tcPr>
            <w:tcW w:w="1251" w:type="dxa"/>
            <w:vAlign w:val="bottom"/>
          </w:tcPr>
          <w:p w:rsidR="004947E8" w:rsidRPr="00A1086B" w:rsidRDefault="00C87772" w:rsidP="00650CE4">
            <w:pPr>
              <w:pStyle w:val="NoSpacing"/>
              <w:jc w:val="right"/>
              <w:rPr>
                <w:color w:val="000000" w:themeColor="text1"/>
                <w:sz w:val="16"/>
                <w:szCs w:val="16"/>
              </w:rPr>
            </w:pPr>
            <w:r w:rsidRPr="00A1086B">
              <w:rPr>
                <w:color w:val="000000" w:themeColor="text1"/>
                <w:sz w:val="16"/>
                <w:szCs w:val="16"/>
              </w:rPr>
              <w:fldChar w:fldCharType="begin"/>
            </w:r>
            <w:r w:rsidRPr="00A1086B">
              <w:rPr>
                <w:color w:val="000000" w:themeColor="text1"/>
                <w:sz w:val="16"/>
                <w:szCs w:val="16"/>
              </w:rPr>
              <w:instrText xml:space="preserve"> =c2-c3 \# "##0.000;(##0.000)" </w:instrText>
            </w:r>
            <w:r w:rsidRPr="00A1086B">
              <w:rPr>
                <w:color w:val="000000" w:themeColor="text1"/>
                <w:sz w:val="16"/>
                <w:szCs w:val="16"/>
              </w:rPr>
              <w:fldChar w:fldCharType="separate"/>
            </w:r>
            <w:r w:rsidRPr="00A1086B">
              <w:rPr>
                <w:noProof/>
                <w:color w:val="000000" w:themeColor="text1"/>
                <w:sz w:val="16"/>
                <w:szCs w:val="16"/>
              </w:rPr>
              <w:t>(257.722)</w:t>
            </w:r>
            <w:r w:rsidRPr="00A1086B">
              <w:rPr>
                <w:color w:val="000000" w:themeColor="text1"/>
                <w:sz w:val="16"/>
                <w:szCs w:val="16"/>
              </w:rPr>
              <w:fldChar w:fldCharType="end"/>
            </w:r>
          </w:p>
        </w:tc>
        <w:tc>
          <w:tcPr>
            <w:tcW w:w="1296" w:type="dxa"/>
            <w:vAlign w:val="bottom"/>
          </w:tcPr>
          <w:p w:rsidR="004947E8" w:rsidRPr="00A1086B" w:rsidRDefault="00B573D6" w:rsidP="00650CE4">
            <w:pPr>
              <w:pStyle w:val="NoSpacing"/>
              <w:ind w:right="-76"/>
              <w:jc w:val="right"/>
              <w:rPr>
                <w:color w:val="000000" w:themeColor="text1"/>
                <w:sz w:val="16"/>
                <w:szCs w:val="16"/>
              </w:rPr>
            </w:pPr>
            <w:r w:rsidRPr="00A1086B">
              <w:rPr>
                <w:color w:val="000000" w:themeColor="text1"/>
                <w:sz w:val="16"/>
                <w:szCs w:val="16"/>
              </w:rPr>
              <w:fldChar w:fldCharType="begin"/>
            </w:r>
            <w:r w:rsidRPr="00A1086B">
              <w:rPr>
                <w:color w:val="000000" w:themeColor="text1"/>
                <w:sz w:val="16"/>
                <w:szCs w:val="16"/>
              </w:rPr>
              <w:instrText xml:space="preserve"> =b4-c4 </w:instrText>
            </w:r>
            <w:r w:rsidRPr="00A1086B">
              <w:rPr>
                <w:color w:val="000000" w:themeColor="text1"/>
                <w:sz w:val="16"/>
                <w:szCs w:val="16"/>
              </w:rPr>
              <w:fldChar w:fldCharType="separate"/>
            </w:r>
            <w:r w:rsidRPr="00A1086B">
              <w:rPr>
                <w:noProof/>
                <w:color w:val="000000" w:themeColor="text1"/>
                <w:sz w:val="16"/>
                <w:szCs w:val="16"/>
              </w:rPr>
              <w:t>(43.298)</w:t>
            </w:r>
            <w:r w:rsidRPr="00A1086B">
              <w:rPr>
                <w:color w:val="000000" w:themeColor="text1"/>
                <w:sz w:val="16"/>
                <w:szCs w:val="16"/>
              </w:rPr>
              <w:fldChar w:fldCharType="end"/>
            </w:r>
          </w:p>
        </w:tc>
      </w:tr>
      <w:tr w:rsidR="004947E8" w:rsidRPr="00AC196A" w:rsidTr="00C87772">
        <w:tc>
          <w:tcPr>
            <w:tcW w:w="4680" w:type="dxa"/>
            <w:vAlign w:val="bottom"/>
          </w:tcPr>
          <w:p w:rsidR="004947E8" w:rsidRPr="00A1086B" w:rsidRDefault="004947E8" w:rsidP="00650CE4">
            <w:pPr>
              <w:pStyle w:val="NoSpacing"/>
              <w:ind w:left="-109"/>
              <w:jc w:val="both"/>
              <w:rPr>
                <w:color w:val="000000" w:themeColor="text1"/>
                <w:sz w:val="16"/>
                <w:szCs w:val="16"/>
              </w:rPr>
            </w:pPr>
            <w:r w:rsidRPr="00A1086B">
              <w:rPr>
                <w:color w:val="000000" w:themeColor="text1"/>
                <w:sz w:val="16"/>
                <w:szCs w:val="16"/>
              </w:rPr>
              <w:t>Other non-operating income</w:t>
            </w:r>
          </w:p>
        </w:tc>
        <w:tc>
          <w:tcPr>
            <w:tcW w:w="1440" w:type="dxa"/>
            <w:vAlign w:val="bottom"/>
          </w:tcPr>
          <w:p w:rsidR="004947E8" w:rsidRPr="00A1086B" w:rsidRDefault="00C87772" w:rsidP="00650CE4">
            <w:pPr>
              <w:pStyle w:val="NoSpacing"/>
              <w:jc w:val="right"/>
              <w:rPr>
                <w:color w:val="000000" w:themeColor="text1"/>
                <w:sz w:val="16"/>
                <w:szCs w:val="16"/>
              </w:rPr>
            </w:pPr>
            <w:r w:rsidRPr="00A1086B">
              <w:rPr>
                <w:color w:val="000000" w:themeColor="text1"/>
                <w:sz w:val="16"/>
                <w:szCs w:val="16"/>
              </w:rPr>
              <w:t>1.046</w:t>
            </w:r>
          </w:p>
        </w:tc>
        <w:tc>
          <w:tcPr>
            <w:tcW w:w="1251" w:type="dxa"/>
            <w:vAlign w:val="bottom"/>
          </w:tcPr>
          <w:p w:rsidR="004947E8" w:rsidRPr="00A1086B" w:rsidRDefault="00C87772" w:rsidP="00650CE4">
            <w:pPr>
              <w:pStyle w:val="NoSpacing"/>
              <w:jc w:val="right"/>
              <w:rPr>
                <w:color w:val="000000" w:themeColor="text1"/>
                <w:sz w:val="16"/>
                <w:szCs w:val="16"/>
              </w:rPr>
            </w:pPr>
            <w:r w:rsidRPr="00A1086B">
              <w:rPr>
                <w:color w:val="000000" w:themeColor="text1"/>
                <w:sz w:val="16"/>
                <w:szCs w:val="16"/>
              </w:rPr>
              <w:t>3.447</w:t>
            </w:r>
          </w:p>
        </w:tc>
        <w:tc>
          <w:tcPr>
            <w:tcW w:w="1296" w:type="dxa"/>
            <w:vAlign w:val="bottom"/>
          </w:tcPr>
          <w:p w:rsidR="004947E8" w:rsidRPr="00A1086B" w:rsidRDefault="00B573D6" w:rsidP="00650CE4">
            <w:pPr>
              <w:pStyle w:val="NoSpacing"/>
              <w:ind w:right="-76"/>
              <w:jc w:val="right"/>
              <w:rPr>
                <w:color w:val="000000" w:themeColor="text1"/>
                <w:sz w:val="16"/>
                <w:szCs w:val="16"/>
              </w:rPr>
            </w:pPr>
            <w:r w:rsidRPr="00A1086B">
              <w:rPr>
                <w:color w:val="000000" w:themeColor="text1"/>
                <w:sz w:val="16"/>
                <w:szCs w:val="16"/>
              </w:rPr>
              <w:fldChar w:fldCharType="begin"/>
            </w:r>
            <w:r w:rsidRPr="00A1086B">
              <w:rPr>
                <w:color w:val="000000" w:themeColor="text1"/>
                <w:sz w:val="16"/>
                <w:szCs w:val="16"/>
              </w:rPr>
              <w:instrText xml:space="preserve"> =b5-c5 \# "0.000;(0.000)" </w:instrText>
            </w:r>
            <w:r w:rsidRPr="00A1086B">
              <w:rPr>
                <w:color w:val="000000" w:themeColor="text1"/>
                <w:sz w:val="16"/>
                <w:szCs w:val="16"/>
              </w:rPr>
              <w:fldChar w:fldCharType="separate"/>
            </w:r>
            <w:r w:rsidRPr="00A1086B">
              <w:rPr>
                <w:noProof/>
                <w:color w:val="000000" w:themeColor="text1"/>
                <w:sz w:val="16"/>
                <w:szCs w:val="16"/>
              </w:rPr>
              <w:t>(2.401)</w:t>
            </w:r>
            <w:r w:rsidRPr="00A1086B">
              <w:rPr>
                <w:color w:val="000000" w:themeColor="text1"/>
                <w:sz w:val="16"/>
                <w:szCs w:val="16"/>
              </w:rPr>
              <w:fldChar w:fldCharType="end"/>
            </w:r>
          </w:p>
        </w:tc>
      </w:tr>
      <w:tr w:rsidR="004947E8" w:rsidRPr="00AC196A" w:rsidTr="007D5241">
        <w:tc>
          <w:tcPr>
            <w:tcW w:w="4680" w:type="dxa"/>
            <w:tcBorders>
              <w:bottom w:val="single" w:sz="4" w:space="0" w:color="auto"/>
            </w:tcBorders>
            <w:vAlign w:val="bottom"/>
          </w:tcPr>
          <w:p w:rsidR="004947E8" w:rsidRPr="00A1086B" w:rsidRDefault="004947E8" w:rsidP="00650CE4">
            <w:pPr>
              <w:pStyle w:val="NoSpacing"/>
              <w:ind w:left="-109"/>
              <w:jc w:val="both"/>
              <w:rPr>
                <w:color w:val="000000" w:themeColor="text1"/>
                <w:sz w:val="16"/>
                <w:szCs w:val="16"/>
              </w:rPr>
            </w:pPr>
            <w:r w:rsidRPr="00A1086B">
              <w:rPr>
                <w:color w:val="000000" w:themeColor="text1"/>
                <w:sz w:val="16"/>
                <w:szCs w:val="16"/>
              </w:rPr>
              <w:t>Subsidy income from the national government</w:t>
            </w:r>
          </w:p>
        </w:tc>
        <w:tc>
          <w:tcPr>
            <w:tcW w:w="1440" w:type="dxa"/>
            <w:tcBorders>
              <w:bottom w:val="single" w:sz="4" w:space="0" w:color="auto"/>
            </w:tcBorders>
            <w:vAlign w:val="bottom"/>
          </w:tcPr>
          <w:p w:rsidR="004947E8" w:rsidRPr="00A1086B" w:rsidRDefault="00C87772" w:rsidP="00650CE4">
            <w:pPr>
              <w:pStyle w:val="NoSpacing"/>
              <w:jc w:val="right"/>
              <w:rPr>
                <w:color w:val="000000" w:themeColor="text1"/>
                <w:sz w:val="16"/>
                <w:szCs w:val="16"/>
              </w:rPr>
            </w:pPr>
            <w:r w:rsidRPr="00A1086B">
              <w:rPr>
                <w:color w:val="000000" w:themeColor="text1"/>
                <w:sz w:val="16"/>
                <w:szCs w:val="16"/>
              </w:rPr>
              <w:t>345.530</w:t>
            </w:r>
          </w:p>
        </w:tc>
        <w:tc>
          <w:tcPr>
            <w:tcW w:w="1251" w:type="dxa"/>
            <w:tcBorders>
              <w:bottom w:val="single" w:sz="4" w:space="0" w:color="auto"/>
            </w:tcBorders>
            <w:vAlign w:val="bottom"/>
          </w:tcPr>
          <w:p w:rsidR="004947E8" w:rsidRPr="00A1086B" w:rsidRDefault="004947E8" w:rsidP="00650CE4">
            <w:pPr>
              <w:pStyle w:val="NoSpacing"/>
              <w:jc w:val="right"/>
              <w:rPr>
                <w:color w:val="000000" w:themeColor="text1"/>
                <w:sz w:val="16"/>
                <w:szCs w:val="16"/>
              </w:rPr>
            </w:pPr>
            <w:r w:rsidRPr="00A1086B">
              <w:rPr>
                <w:color w:val="000000" w:themeColor="text1"/>
                <w:sz w:val="16"/>
                <w:szCs w:val="16"/>
              </w:rPr>
              <w:t>553.931</w:t>
            </w:r>
          </w:p>
        </w:tc>
        <w:tc>
          <w:tcPr>
            <w:tcW w:w="1296" w:type="dxa"/>
            <w:tcBorders>
              <w:bottom w:val="single" w:sz="4" w:space="0" w:color="auto"/>
            </w:tcBorders>
            <w:vAlign w:val="bottom"/>
          </w:tcPr>
          <w:p w:rsidR="004947E8" w:rsidRPr="00A1086B" w:rsidRDefault="00B573D6" w:rsidP="00650CE4">
            <w:pPr>
              <w:pStyle w:val="NoSpacing"/>
              <w:ind w:right="-76"/>
              <w:jc w:val="right"/>
              <w:rPr>
                <w:color w:val="000000" w:themeColor="text1"/>
                <w:sz w:val="16"/>
                <w:szCs w:val="16"/>
              </w:rPr>
            </w:pPr>
            <w:r w:rsidRPr="00A1086B">
              <w:rPr>
                <w:color w:val="000000" w:themeColor="text1"/>
                <w:sz w:val="16"/>
                <w:szCs w:val="16"/>
              </w:rPr>
              <w:fldChar w:fldCharType="begin"/>
            </w:r>
            <w:r w:rsidRPr="00A1086B">
              <w:rPr>
                <w:color w:val="000000" w:themeColor="text1"/>
                <w:sz w:val="16"/>
                <w:szCs w:val="16"/>
              </w:rPr>
              <w:instrText xml:space="preserve"> =b6-c6 \# "###.000;(###.000)" </w:instrText>
            </w:r>
            <w:r w:rsidRPr="00A1086B">
              <w:rPr>
                <w:color w:val="000000" w:themeColor="text1"/>
                <w:sz w:val="16"/>
                <w:szCs w:val="16"/>
              </w:rPr>
              <w:fldChar w:fldCharType="separate"/>
            </w:r>
            <w:r w:rsidRPr="00A1086B">
              <w:rPr>
                <w:noProof/>
                <w:color w:val="000000" w:themeColor="text1"/>
                <w:sz w:val="16"/>
                <w:szCs w:val="16"/>
              </w:rPr>
              <w:t>(208.401)</w:t>
            </w:r>
            <w:r w:rsidRPr="00A1086B">
              <w:rPr>
                <w:color w:val="000000" w:themeColor="text1"/>
                <w:sz w:val="16"/>
                <w:szCs w:val="16"/>
              </w:rPr>
              <w:fldChar w:fldCharType="end"/>
            </w:r>
          </w:p>
        </w:tc>
      </w:tr>
      <w:tr w:rsidR="004947E8" w:rsidRPr="00AC196A" w:rsidTr="007D5241">
        <w:tc>
          <w:tcPr>
            <w:tcW w:w="4680" w:type="dxa"/>
            <w:tcBorders>
              <w:top w:val="single" w:sz="4" w:space="0" w:color="auto"/>
              <w:bottom w:val="double" w:sz="4" w:space="0" w:color="auto"/>
            </w:tcBorders>
            <w:vAlign w:val="bottom"/>
          </w:tcPr>
          <w:p w:rsidR="004947E8" w:rsidRPr="00A1086B" w:rsidRDefault="004947E8" w:rsidP="00650CE4">
            <w:pPr>
              <w:pStyle w:val="NoSpacing"/>
              <w:ind w:left="-109"/>
              <w:jc w:val="both"/>
              <w:rPr>
                <w:color w:val="000000" w:themeColor="text1"/>
                <w:sz w:val="16"/>
                <w:szCs w:val="16"/>
              </w:rPr>
            </w:pPr>
            <w:r w:rsidRPr="00A1086B">
              <w:rPr>
                <w:color w:val="000000" w:themeColor="text1"/>
                <w:sz w:val="16"/>
                <w:szCs w:val="16"/>
              </w:rPr>
              <w:t>Net surplus</w:t>
            </w:r>
          </w:p>
        </w:tc>
        <w:tc>
          <w:tcPr>
            <w:tcW w:w="1440" w:type="dxa"/>
            <w:tcBorders>
              <w:top w:val="single" w:sz="4" w:space="0" w:color="auto"/>
              <w:bottom w:val="double" w:sz="4" w:space="0" w:color="auto"/>
            </w:tcBorders>
            <w:vAlign w:val="bottom"/>
          </w:tcPr>
          <w:p w:rsidR="004947E8" w:rsidRPr="00A1086B" w:rsidRDefault="00B573D6" w:rsidP="00650CE4">
            <w:pPr>
              <w:pStyle w:val="NoSpacing"/>
              <w:jc w:val="right"/>
              <w:rPr>
                <w:color w:val="000000" w:themeColor="text1"/>
                <w:sz w:val="16"/>
                <w:szCs w:val="16"/>
              </w:rPr>
            </w:pPr>
            <w:r w:rsidRPr="00A1086B">
              <w:rPr>
                <w:color w:val="000000" w:themeColor="text1"/>
                <w:sz w:val="16"/>
                <w:szCs w:val="16"/>
              </w:rPr>
              <w:fldChar w:fldCharType="begin"/>
            </w:r>
            <w:r w:rsidRPr="00A1086B">
              <w:rPr>
                <w:color w:val="000000" w:themeColor="text1"/>
                <w:sz w:val="16"/>
                <w:szCs w:val="16"/>
              </w:rPr>
              <w:instrText xml:space="preserve"> =SUM(b4:b6) </w:instrText>
            </w:r>
            <w:r w:rsidRPr="00A1086B">
              <w:rPr>
                <w:color w:val="000000" w:themeColor="text1"/>
                <w:sz w:val="16"/>
                <w:szCs w:val="16"/>
              </w:rPr>
              <w:fldChar w:fldCharType="separate"/>
            </w:r>
            <w:r w:rsidRPr="00A1086B">
              <w:rPr>
                <w:noProof/>
                <w:color w:val="000000" w:themeColor="text1"/>
                <w:sz w:val="16"/>
                <w:szCs w:val="16"/>
              </w:rPr>
              <w:t>45.556</w:t>
            </w:r>
            <w:r w:rsidRPr="00A1086B">
              <w:rPr>
                <w:color w:val="000000" w:themeColor="text1"/>
                <w:sz w:val="16"/>
                <w:szCs w:val="16"/>
              </w:rPr>
              <w:fldChar w:fldCharType="end"/>
            </w:r>
          </w:p>
        </w:tc>
        <w:tc>
          <w:tcPr>
            <w:tcW w:w="1251" w:type="dxa"/>
            <w:tcBorders>
              <w:top w:val="single" w:sz="4" w:space="0" w:color="auto"/>
              <w:bottom w:val="double" w:sz="4" w:space="0" w:color="auto"/>
            </w:tcBorders>
            <w:vAlign w:val="bottom"/>
          </w:tcPr>
          <w:p w:rsidR="004947E8" w:rsidRPr="00A1086B" w:rsidRDefault="00B573D6" w:rsidP="00650CE4">
            <w:pPr>
              <w:pStyle w:val="NoSpacing"/>
              <w:jc w:val="right"/>
              <w:rPr>
                <w:color w:val="000000" w:themeColor="text1"/>
                <w:sz w:val="16"/>
                <w:szCs w:val="16"/>
              </w:rPr>
            </w:pPr>
            <w:r w:rsidRPr="00A1086B">
              <w:rPr>
                <w:color w:val="000000" w:themeColor="text1"/>
                <w:sz w:val="16"/>
                <w:szCs w:val="16"/>
              </w:rPr>
              <w:fldChar w:fldCharType="begin"/>
            </w:r>
            <w:r w:rsidRPr="00A1086B">
              <w:rPr>
                <w:color w:val="000000" w:themeColor="text1"/>
                <w:sz w:val="16"/>
                <w:szCs w:val="16"/>
              </w:rPr>
              <w:instrText xml:space="preserve"> =SUM(c4:c6) \# "#,##0.000;(#,##0.000)" </w:instrText>
            </w:r>
            <w:r w:rsidRPr="00A1086B">
              <w:rPr>
                <w:color w:val="000000" w:themeColor="text1"/>
                <w:sz w:val="16"/>
                <w:szCs w:val="16"/>
              </w:rPr>
              <w:fldChar w:fldCharType="separate"/>
            </w:r>
            <w:r w:rsidRPr="00A1086B">
              <w:rPr>
                <w:noProof/>
                <w:color w:val="000000" w:themeColor="text1"/>
                <w:sz w:val="16"/>
                <w:szCs w:val="16"/>
              </w:rPr>
              <w:t xml:space="preserve"> 299.656</w:t>
            </w:r>
            <w:r w:rsidRPr="00A1086B">
              <w:rPr>
                <w:color w:val="000000" w:themeColor="text1"/>
                <w:sz w:val="16"/>
                <w:szCs w:val="16"/>
              </w:rPr>
              <w:fldChar w:fldCharType="end"/>
            </w:r>
          </w:p>
        </w:tc>
        <w:tc>
          <w:tcPr>
            <w:tcW w:w="1296" w:type="dxa"/>
            <w:tcBorders>
              <w:top w:val="single" w:sz="4" w:space="0" w:color="auto"/>
              <w:bottom w:val="double" w:sz="4" w:space="0" w:color="auto"/>
            </w:tcBorders>
            <w:vAlign w:val="bottom"/>
          </w:tcPr>
          <w:p w:rsidR="004947E8" w:rsidRPr="00A1086B" w:rsidRDefault="00B573D6" w:rsidP="00650CE4">
            <w:pPr>
              <w:pStyle w:val="NoSpacing"/>
              <w:ind w:right="-76"/>
              <w:jc w:val="right"/>
              <w:rPr>
                <w:color w:val="000000" w:themeColor="text1"/>
                <w:sz w:val="16"/>
                <w:szCs w:val="16"/>
              </w:rPr>
            </w:pPr>
            <w:r w:rsidRPr="00A1086B">
              <w:rPr>
                <w:color w:val="000000" w:themeColor="text1"/>
                <w:sz w:val="16"/>
                <w:szCs w:val="16"/>
              </w:rPr>
              <w:fldChar w:fldCharType="begin"/>
            </w:r>
            <w:r w:rsidRPr="00A1086B">
              <w:rPr>
                <w:color w:val="000000" w:themeColor="text1"/>
                <w:sz w:val="16"/>
                <w:szCs w:val="16"/>
              </w:rPr>
              <w:instrText xml:space="preserve"> =b7-c7 \# "##0.000;(##0.000)" </w:instrText>
            </w:r>
            <w:r w:rsidRPr="00A1086B">
              <w:rPr>
                <w:color w:val="000000" w:themeColor="text1"/>
                <w:sz w:val="16"/>
                <w:szCs w:val="16"/>
              </w:rPr>
              <w:fldChar w:fldCharType="separate"/>
            </w:r>
            <w:r w:rsidRPr="00A1086B">
              <w:rPr>
                <w:noProof/>
                <w:color w:val="000000" w:themeColor="text1"/>
                <w:sz w:val="16"/>
                <w:szCs w:val="16"/>
              </w:rPr>
              <w:t>(254.100)</w:t>
            </w:r>
            <w:r w:rsidRPr="00A1086B">
              <w:rPr>
                <w:color w:val="000000" w:themeColor="text1"/>
                <w:sz w:val="16"/>
                <w:szCs w:val="16"/>
              </w:rPr>
              <w:fldChar w:fldCharType="end"/>
            </w:r>
          </w:p>
        </w:tc>
      </w:tr>
    </w:tbl>
    <w:p w:rsidR="00650CE4" w:rsidRPr="00A7575A" w:rsidRDefault="00650CE4" w:rsidP="005C0558">
      <w:pPr>
        <w:pStyle w:val="NoSpacing"/>
        <w:jc w:val="both"/>
        <w:rPr>
          <w:rFonts w:ascii="Arial" w:hAnsi="Arial" w:cs="Arial"/>
          <w:sz w:val="18"/>
          <w:szCs w:val="18"/>
        </w:rPr>
      </w:pPr>
    </w:p>
    <w:p w:rsidR="004947E8" w:rsidRPr="00A1086B" w:rsidRDefault="004947E8" w:rsidP="005C0558">
      <w:pPr>
        <w:pStyle w:val="NoSpacing"/>
        <w:jc w:val="both"/>
        <w:rPr>
          <w:rFonts w:ascii="Arial" w:hAnsi="Arial" w:cs="Arial"/>
          <w:b/>
          <w:sz w:val="20"/>
          <w:szCs w:val="20"/>
        </w:rPr>
      </w:pPr>
      <w:r w:rsidRPr="00A1086B">
        <w:rPr>
          <w:rFonts w:ascii="Arial" w:hAnsi="Arial" w:cs="Arial"/>
          <w:b/>
          <w:sz w:val="20"/>
          <w:szCs w:val="20"/>
        </w:rPr>
        <w:t>III.</w:t>
      </w:r>
      <w:r w:rsidRPr="00A1086B">
        <w:rPr>
          <w:rFonts w:ascii="Arial" w:hAnsi="Arial" w:cs="Arial"/>
          <w:b/>
          <w:sz w:val="20"/>
          <w:szCs w:val="20"/>
        </w:rPr>
        <w:tab/>
        <w:t>Comparison of Budget and Actual Amounts</w:t>
      </w:r>
    </w:p>
    <w:p w:rsidR="00650CE4" w:rsidRPr="00A7575A" w:rsidRDefault="00650CE4" w:rsidP="005C0558">
      <w:pPr>
        <w:pStyle w:val="NoSpacing"/>
        <w:jc w:val="both"/>
        <w:rPr>
          <w:rFonts w:ascii="Arial" w:hAnsi="Arial" w:cs="Arial"/>
          <w:b/>
          <w:sz w:val="18"/>
          <w:szCs w:val="18"/>
        </w:rPr>
      </w:pPr>
    </w:p>
    <w:tbl>
      <w:tblPr>
        <w:tblStyle w:val="TableGrid"/>
        <w:tblW w:w="86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1440"/>
        <w:gridCol w:w="1251"/>
        <w:gridCol w:w="1296"/>
      </w:tblGrid>
      <w:tr w:rsidR="004947E8" w:rsidRPr="00A65F84" w:rsidTr="005C0558">
        <w:tc>
          <w:tcPr>
            <w:tcW w:w="4680" w:type="dxa"/>
            <w:tcBorders>
              <w:top w:val="single" w:sz="4" w:space="0" w:color="auto"/>
              <w:bottom w:val="single" w:sz="4" w:space="0" w:color="auto"/>
            </w:tcBorders>
          </w:tcPr>
          <w:p w:rsidR="004947E8" w:rsidRPr="00A65F84" w:rsidRDefault="004947E8" w:rsidP="00650CE4">
            <w:pPr>
              <w:pStyle w:val="NoSpacing"/>
              <w:ind w:left="-109"/>
              <w:jc w:val="both"/>
              <w:rPr>
                <w:b/>
                <w:color w:val="000000" w:themeColor="text1"/>
                <w:sz w:val="16"/>
                <w:szCs w:val="16"/>
              </w:rPr>
            </w:pPr>
          </w:p>
        </w:tc>
        <w:tc>
          <w:tcPr>
            <w:tcW w:w="1440" w:type="dxa"/>
            <w:tcBorders>
              <w:top w:val="single" w:sz="4" w:space="0" w:color="auto"/>
              <w:bottom w:val="single" w:sz="4" w:space="0" w:color="auto"/>
            </w:tcBorders>
            <w:vAlign w:val="bottom"/>
          </w:tcPr>
          <w:p w:rsidR="004947E8" w:rsidRPr="00A65F84" w:rsidRDefault="004947E8" w:rsidP="00650CE4">
            <w:pPr>
              <w:pStyle w:val="NoSpacing"/>
              <w:jc w:val="right"/>
              <w:rPr>
                <w:b/>
                <w:color w:val="000000" w:themeColor="text1"/>
                <w:sz w:val="16"/>
                <w:szCs w:val="16"/>
              </w:rPr>
            </w:pPr>
            <w:r w:rsidRPr="00A65F84">
              <w:rPr>
                <w:b/>
                <w:color w:val="000000" w:themeColor="text1"/>
                <w:sz w:val="16"/>
                <w:szCs w:val="16"/>
              </w:rPr>
              <w:t>Budget</w:t>
            </w:r>
          </w:p>
        </w:tc>
        <w:tc>
          <w:tcPr>
            <w:tcW w:w="1251" w:type="dxa"/>
            <w:tcBorders>
              <w:top w:val="single" w:sz="4" w:space="0" w:color="auto"/>
              <w:bottom w:val="single" w:sz="4" w:space="0" w:color="auto"/>
            </w:tcBorders>
            <w:vAlign w:val="bottom"/>
          </w:tcPr>
          <w:p w:rsidR="004947E8" w:rsidRPr="00A65F84" w:rsidRDefault="004947E8" w:rsidP="00650CE4">
            <w:pPr>
              <w:pStyle w:val="NoSpacing"/>
              <w:jc w:val="right"/>
              <w:rPr>
                <w:b/>
                <w:color w:val="000000" w:themeColor="text1"/>
                <w:sz w:val="16"/>
                <w:szCs w:val="16"/>
              </w:rPr>
            </w:pPr>
            <w:r w:rsidRPr="00A65F84">
              <w:rPr>
                <w:b/>
                <w:color w:val="000000" w:themeColor="text1"/>
                <w:sz w:val="16"/>
                <w:szCs w:val="16"/>
              </w:rPr>
              <w:t>Actual</w:t>
            </w:r>
          </w:p>
        </w:tc>
        <w:tc>
          <w:tcPr>
            <w:tcW w:w="1296" w:type="dxa"/>
            <w:tcBorders>
              <w:top w:val="single" w:sz="4" w:space="0" w:color="auto"/>
              <w:bottom w:val="single" w:sz="4" w:space="0" w:color="auto"/>
            </w:tcBorders>
            <w:vAlign w:val="bottom"/>
          </w:tcPr>
          <w:p w:rsidR="004947E8" w:rsidRPr="00A65F84" w:rsidRDefault="005C0558" w:rsidP="00650CE4">
            <w:pPr>
              <w:pStyle w:val="NoSpacing"/>
              <w:ind w:right="-76"/>
              <w:jc w:val="right"/>
              <w:rPr>
                <w:b/>
                <w:color w:val="000000" w:themeColor="text1"/>
                <w:sz w:val="16"/>
                <w:szCs w:val="16"/>
              </w:rPr>
            </w:pPr>
            <w:r w:rsidRPr="00A65F84">
              <w:rPr>
                <w:b/>
                <w:color w:val="000000" w:themeColor="text1"/>
                <w:sz w:val="16"/>
                <w:szCs w:val="16"/>
              </w:rPr>
              <w:t>D</w:t>
            </w:r>
            <w:r w:rsidR="00650CE4" w:rsidRPr="00A65F84">
              <w:rPr>
                <w:b/>
                <w:color w:val="000000" w:themeColor="text1"/>
                <w:sz w:val="16"/>
                <w:szCs w:val="16"/>
              </w:rPr>
              <w:t>ifference</w:t>
            </w:r>
          </w:p>
        </w:tc>
      </w:tr>
      <w:tr w:rsidR="004947E8" w:rsidRPr="00A65F84" w:rsidTr="005C0558">
        <w:tc>
          <w:tcPr>
            <w:tcW w:w="4680" w:type="dxa"/>
            <w:tcBorders>
              <w:top w:val="single" w:sz="4" w:space="0" w:color="auto"/>
            </w:tcBorders>
          </w:tcPr>
          <w:p w:rsidR="004947E8" w:rsidRPr="00A65F84" w:rsidRDefault="004947E8" w:rsidP="00650CE4">
            <w:pPr>
              <w:pStyle w:val="NoSpacing"/>
              <w:ind w:left="-109"/>
              <w:jc w:val="both"/>
              <w:rPr>
                <w:color w:val="000000" w:themeColor="text1"/>
                <w:sz w:val="16"/>
                <w:szCs w:val="16"/>
              </w:rPr>
            </w:pPr>
            <w:r w:rsidRPr="00A65F84">
              <w:rPr>
                <w:color w:val="000000" w:themeColor="text1"/>
                <w:sz w:val="16"/>
                <w:szCs w:val="16"/>
              </w:rPr>
              <w:t>Personnel services</w:t>
            </w:r>
          </w:p>
        </w:tc>
        <w:tc>
          <w:tcPr>
            <w:tcW w:w="1440" w:type="dxa"/>
            <w:tcBorders>
              <w:top w:val="single" w:sz="4" w:space="0" w:color="auto"/>
            </w:tcBorders>
            <w:vAlign w:val="bottom"/>
          </w:tcPr>
          <w:p w:rsidR="004947E8" w:rsidRPr="00A65F84" w:rsidRDefault="005C0558" w:rsidP="00650CE4">
            <w:pPr>
              <w:pStyle w:val="NoSpacing"/>
              <w:jc w:val="right"/>
              <w:rPr>
                <w:color w:val="000000" w:themeColor="text1"/>
                <w:sz w:val="16"/>
                <w:szCs w:val="16"/>
              </w:rPr>
            </w:pPr>
            <w:r w:rsidRPr="00A65F84">
              <w:rPr>
                <w:color w:val="000000" w:themeColor="text1"/>
                <w:sz w:val="16"/>
                <w:szCs w:val="16"/>
              </w:rPr>
              <w:t>251.529</w:t>
            </w:r>
          </w:p>
        </w:tc>
        <w:tc>
          <w:tcPr>
            <w:tcW w:w="1251" w:type="dxa"/>
            <w:tcBorders>
              <w:top w:val="single" w:sz="4" w:space="0" w:color="auto"/>
            </w:tcBorders>
            <w:vAlign w:val="bottom"/>
          </w:tcPr>
          <w:p w:rsidR="004947E8" w:rsidRPr="00A65F84" w:rsidRDefault="005C0558" w:rsidP="00650CE4">
            <w:pPr>
              <w:pStyle w:val="NoSpacing"/>
              <w:jc w:val="right"/>
              <w:rPr>
                <w:color w:val="000000" w:themeColor="text1"/>
                <w:sz w:val="16"/>
                <w:szCs w:val="16"/>
              </w:rPr>
            </w:pPr>
            <w:r w:rsidRPr="00A65F84">
              <w:rPr>
                <w:color w:val="000000" w:themeColor="text1"/>
                <w:sz w:val="16"/>
                <w:szCs w:val="16"/>
              </w:rPr>
              <w:t>201.801</w:t>
            </w:r>
          </w:p>
        </w:tc>
        <w:tc>
          <w:tcPr>
            <w:tcW w:w="1296" w:type="dxa"/>
            <w:tcBorders>
              <w:top w:val="single" w:sz="4" w:space="0" w:color="auto"/>
            </w:tcBorders>
            <w:vAlign w:val="bottom"/>
          </w:tcPr>
          <w:p w:rsidR="004947E8" w:rsidRPr="00A65F84" w:rsidRDefault="00B573D6" w:rsidP="00650CE4">
            <w:pPr>
              <w:pStyle w:val="NoSpacing"/>
              <w:ind w:right="-76"/>
              <w:jc w:val="right"/>
              <w:rPr>
                <w:color w:val="000000" w:themeColor="text1"/>
                <w:sz w:val="16"/>
                <w:szCs w:val="16"/>
              </w:rPr>
            </w:pPr>
            <w:r w:rsidRPr="00A65F84">
              <w:rPr>
                <w:color w:val="000000" w:themeColor="text1"/>
                <w:sz w:val="16"/>
                <w:szCs w:val="16"/>
              </w:rPr>
              <w:fldChar w:fldCharType="begin"/>
            </w:r>
            <w:r w:rsidRPr="00A65F84">
              <w:rPr>
                <w:color w:val="000000" w:themeColor="text1"/>
                <w:sz w:val="16"/>
                <w:szCs w:val="16"/>
              </w:rPr>
              <w:instrText xml:space="preserve"> =b2-c2 \# "#,##0.000;(#,##0.000)" </w:instrText>
            </w:r>
            <w:r w:rsidRPr="00A65F84">
              <w:rPr>
                <w:color w:val="000000" w:themeColor="text1"/>
                <w:sz w:val="16"/>
                <w:szCs w:val="16"/>
              </w:rPr>
              <w:fldChar w:fldCharType="separate"/>
            </w:r>
            <w:r w:rsidRPr="00A65F84">
              <w:rPr>
                <w:noProof/>
                <w:color w:val="000000" w:themeColor="text1"/>
                <w:sz w:val="16"/>
                <w:szCs w:val="16"/>
              </w:rPr>
              <w:t xml:space="preserve">  49.728</w:t>
            </w:r>
            <w:r w:rsidRPr="00A65F84">
              <w:rPr>
                <w:color w:val="000000" w:themeColor="text1"/>
                <w:sz w:val="16"/>
                <w:szCs w:val="16"/>
              </w:rPr>
              <w:fldChar w:fldCharType="end"/>
            </w:r>
          </w:p>
        </w:tc>
      </w:tr>
      <w:tr w:rsidR="004947E8" w:rsidRPr="00A65F84" w:rsidTr="005C0558">
        <w:tc>
          <w:tcPr>
            <w:tcW w:w="4680" w:type="dxa"/>
          </w:tcPr>
          <w:p w:rsidR="004947E8" w:rsidRPr="00A65F84" w:rsidRDefault="004947E8" w:rsidP="00650CE4">
            <w:pPr>
              <w:pStyle w:val="NoSpacing"/>
              <w:ind w:left="-109"/>
              <w:jc w:val="both"/>
              <w:rPr>
                <w:color w:val="000000" w:themeColor="text1"/>
                <w:sz w:val="16"/>
                <w:szCs w:val="16"/>
              </w:rPr>
            </w:pPr>
            <w:r w:rsidRPr="00A65F84">
              <w:rPr>
                <w:color w:val="000000" w:themeColor="text1"/>
                <w:sz w:val="16"/>
                <w:szCs w:val="16"/>
              </w:rPr>
              <w:t>Maintenance and other operating expenses</w:t>
            </w:r>
          </w:p>
        </w:tc>
        <w:tc>
          <w:tcPr>
            <w:tcW w:w="1440" w:type="dxa"/>
            <w:vAlign w:val="bottom"/>
          </w:tcPr>
          <w:p w:rsidR="004947E8" w:rsidRPr="00A65F84" w:rsidRDefault="005C0558" w:rsidP="00650CE4">
            <w:pPr>
              <w:pStyle w:val="NoSpacing"/>
              <w:jc w:val="right"/>
              <w:rPr>
                <w:color w:val="000000" w:themeColor="text1"/>
                <w:sz w:val="16"/>
                <w:szCs w:val="16"/>
              </w:rPr>
            </w:pPr>
            <w:r w:rsidRPr="00A65F84">
              <w:rPr>
                <w:color w:val="000000" w:themeColor="text1"/>
                <w:sz w:val="16"/>
                <w:szCs w:val="16"/>
              </w:rPr>
              <w:t>259.870</w:t>
            </w:r>
          </w:p>
        </w:tc>
        <w:tc>
          <w:tcPr>
            <w:tcW w:w="1251" w:type="dxa"/>
            <w:vAlign w:val="bottom"/>
          </w:tcPr>
          <w:p w:rsidR="004947E8" w:rsidRPr="00A65F84" w:rsidRDefault="005C0558" w:rsidP="00650CE4">
            <w:pPr>
              <w:pStyle w:val="NoSpacing"/>
              <w:jc w:val="right"/>
              <w:rPr>
                <w:color w:val="000000" w:themeColor="text1"/>
                <w:sz w:val="16"/>
                <w:szCs w:val="16"/>
              </w:rPr>
            </w:pPr>
            <w:r w:rsidRPr="00A65F84">
              <w:rPr>
                <w:color w:val="000000" w:themeColor="text1"/>
                <w:sz w:val="16"/>
                <w:szCs w:val="16"/>
              </w:rPr>
              <w:t>118.212</w:t>
            </w:r>
          </w:p>
        </w:tc>
        <w:tc>
          <w:tcPr>
            <w:tcW w:w="1296" w:type="dxa"/>
            <w:vAlign w:val="bottom"/>
          </w:tcPr>
          <w:p w:rsidR="004947E8" w:rsidRPr="00A65F84" w:rsidRDefault="005C0558" w:rsidP="00650CE4">
            <w:pPr>
              <w:pStyle w:val="NoSpacing"/>
              <w:ind w:right="-76"/>
              <w:jc w:val="right"/>
              <w:rPr>
                <w:color w:val="000000" w:themeColor="text1"/>
                <w:sz w:val="16"/>
                <w:szCs w:val="16"/>
              </w:rPr>
            </w:pPr>
            <w:r w:rsidRPr="00A65F84">
              <w:rPr>
                <w:color w:val="000000" w:themeColor="text1"/>
                <w:sz w:val="16"/>
                <w:szCs w:val="16"/>
              </w:rPr>
              <w:fldChar w:fldCharType="begin"/>
            </w:r>
            <w:r w:rsidRPr="00A65F84">
              <w:rPr>
                <w:color w:val="000000" w:themeColor="text1"/>
                <w:sz w:val="16"/>
                <w:szCs w:val="16"/>
              </w:rPr>
              <w:instrText xml:space="preserve"> =b3-c3 </w:instrText>
            </w:r>
            <w:r w:rsidRPr="00A65F84">
              <w:rPr>
                <w:color w:val="000000" w:themeColor="text1"/>
                <w:sz w:val="16"/>
                <w:szCs w:val="16"/>
              </w:rPr>
              <w:fldChar w:fldCharType="separate"/>
            </w:r>
            <w:r w:rsidRPr="00A65F84">
              <w:rPr>
                <w:noProof/>
                <w:color w:val="000000" w:themeColor="text1"/>
                <w:sz w:val="16"/>
                <w:szCs w:val="16"/>
              </w:rPr>
              <w:t>141.658</w:t>
            </w:r>
            <w:r w:rsidRPr="00A65F84">
              <w:rPr>
                <w:color w:val="000000" w:themeColor="text1"/>
                <w:sz w:val="16"/>
                <w:szCs w:val="16"/>
              </w:rPr>
              <w:fldChar w:fldCharType="end"/>
            </w:r>
            <w:r w:rsidR="004947E8" w:rsidRPr="00A65F84">
              <w:rPr>
                <w:color w:val="000000" w:themeColor="text1"/>
                <w:sz w:val="16"/>
                <w:szCs w:val="16"/>
              </w:rPr>
              <w:fldChar w:fldCharType="begin"/>
            </w:r>
            <w:r w:rsidR="004947E8" w:rsidRPr="00A65F84">
              <w:rPr>
                <w:color w:val="000000" w:themeColor="text1"/>
                <w:sz w:val="16"/>
                <w:szCs w:val="16"/>
              </w:rPr>
              <w:instrText xml:space="preserve"> =b2-c2 \# "#,##0.000;(#,##0.000)" </w:instrText>
            </w:r>
            <w:r w:rsidR="004947E8" w:rsidRPr="00A65F84">
              <w:rPr>
                <w:color w:val="000000" w:themeColor="text1"/>
                <w:sz w:val="16"/>
                <w:szCs w:val="16"/>
              </w:rPr>
              <w:fldChar w:fldCharType="separate"/>
            </w:r>
            <w:r w:rsidR="004947E8" w:rsidRPr="00A65F84">
              <w:rPr>
                <w:noProof/>
                <w:color w:val="000000" w:themeColor="text1"/>
                <w:sz w:val="16"/>
                <w:szCs w:val="16"/>
              </w:rPr>
              <w:t xml:space="preserve"> </w:t>
            </w:r>
            <w:r w:rsidR="004947E8" w:rsidRPr="00A65F84">
              <w:rPr>
                <w:color w:val="000000" w:themeColor="text1"/>
                <w:sz w:val="16"/>
                <w:szCs w:val="16"/>
              </w:rPr>
              <w:fldChar w:fldCharType="end"/>
            </w:r>
          </w:p>
        </w:tc>
      </w:tr>
      <w:tr w:rsidR="004947E8" w:rsidRPr="00A65F84" w:rsidTr="005C0558">
        <w:tc>
          <w:tcPr>
            <w:tcW w:w="4680" w:type="dxa"/>
          </w:tcPr>
          <w:p w:rsidR="004947E8" w:rsidRPr="00A65F84" w:rsidRDefault="004947E8" w:rsidP="00650CE4">
            <w:pPr>
              <w:pStyle w:val="NoSpacing"/>
              <w:ind w:left="-109"/>
              <w:jc w:val="both"/>
              <w:rPr>
                <w:color w:val="000000" w:themeColor="text1"/>
                <w:sz w:val="16"/>
                <w:szCs w:val="16"/>
              </w:rPr>
            </w:pPr>
            <w:r w:rsidRPr="00A65F84">
              <w:rPr>
                <w:color w:val="000000" w:themeColor="text1"/>
                <w:sz w:val="16"/>
                <w:szCs w:val="16"/>
              </w:rPr>
              <w:t>Investment outlay</w:t>
            </w:r>
          </w:p>
        </w:tc>
        <w:tc>
          <w:tcPr>
            <w:tcW w:w="1440" w:type="dxa"/>
            <w:vAlign w:val="bottom"/>
          </w:tcPr>
          <w:p w:rsidR="004947E8" w:rsidRPr="00A65F84" w:rsidRDefault="005C0558" w:rsidP="00650CE4">
            <w:pPr>
              <w:pStyle w:val="NoSpacing"/>
              <w:jc w:val="right"/>
              <w:rPr>
                <w:color w:val="000000" w:themeColor="text1"/>
                <w:sz w:val="16"/>
                <w:szCs w:val="16"/>
              </w:rPr>
            </w:pPr>
            <w:r w:rsidRPr="00A65F84">
              <w:rPr>
                <w:color w:val="000000" w:themeColor="text1"/>
                <w:sz w:val="16"/>
                <w:szCs w:val="16"/>
              </w:rPr>
              <w:t>354.203</w:t>
            </w:r>
          </w:p>
        </w:tc>
        <w:tc>
          <w:tcPr>
            <w:tcW w:w="1251" w:type="dxa"/>
            <w:vAlign w:val="bottom"/>
          </w:tcPr>
          <w:p w:rsidR="004947E8" w:rsidRPr="00A65F84" w:rsidRDefault="005C0558" w:rsidP="00650CE4">
            <w:pPr>
              <w:pStyle w:val="NoSpacing"/>
              <w:jc w:val="right"/>
              <w:rPr>
                <w:color w:val="000000" w:themeColor="text1"/>
                <w:sz w:val="16"/>
                <w:szCs w:val="16"/>
              </w:rPr>
            </w:pPr>
            <w:r w:rsidRPr="00A65F84">
              <w:rPr>
                <w:color w:val="000000" w:themeColor="text1"/>
                <w:sz w:val="16"/>
                <w:szCs w:val="16"/>
              </w:rPr>
              <w:t>272.200</w:t>
            </w:r>
          </w:p>
        </w:tc>
        <w:tc>
          <w:tcPr>
            <w:tcW w:w="1296" w:type="dxa"/>
            <w:vAlign w:val="bottom"/>
          </w:tcPr>
          <w:p w:rsidR="004947E8" w:rsidRPr="00A65F84" w:rsidRDefault="005C0558" w:rsidP="00650CE4">
            <w:pPr>
              <w:pStyle w:val="NoSpacing"/>
              <w:ind w:right="-76"/>
              <w:jc w:val="right"/>
              <w:rPr>
                <w:color w:val="000000" w:themeColor="text1"/>
                <w:sz w:val="16"/>
                <w:szCs w:val="16"/>
              </w:rPr>
            </w:pPr>
            <w:r w:rsidRPr="00A65F84">
              <w:rPr>
                <w:color w:val="000000" w:themeColor="text1"/>
                <w:sz w:val="16"/>
                <w:szCs w:val="16"/>
              </w:rPr>
              <w:fldChar w:fldCharType="begin"/>
            </w:r>
            <w:r w:rsidRPr="00A65F84">
              <w:rPr>
                <w:color w:val="000000" w:themeColor="text1"/>
                <w:sz w:val="16"/>
                <w:szCs w:val="16"/>
              </w:rPr>
              <w:instrText xml:space="preserve"> =b4-c4 \# "#,##0.000;(#,##0.000)" </w:instrText>
            </w:r>
            <w:r w:rsidRPr="00A65F84">
              <w:rPr>
                <w:color w:val="000000" w:themeColor="text1"/>
                <w:sz w:val="16"/>
                <w:szCs w:val="16"/>
              </w:rPr>
              <w:fldChar w:fldCharType="separate"/>
            </w:r>
            <w:r w:rsidRPr="00A65F84">
              <w:rPr>
                <w:noProof/>
                <w:color w:val="000000" w:themeColor="text1"/>
                <w:sz w:val="16"/>
                <w:szCs w:val="16"/>
              </w:rPr>
              <w:t xml:space="preserve">  82.003</w:t>
            </w:r>
            <w:r w:rsidRPr="00A65F84">
              <w:rPr>
                <w:color w:val="000000" w:themeColor="text1"/>
                <w:sz w:val="16"/>
                <w:szCs w:val="16"/>
              </w:rPr>
              <w:fldChar w:fldCharType="end"/>
            </w:r>
          </w:p>
        </w:tc>
      </w:tr>
      <w:tr w:rsidR="004947E8" w:rsidRPr="00A65F84" w:rsidTr="005C0558">
        <w:tc>
          <w:tcPr>
            <w:tcW w:w="4680" w:type="dxa"/>
          </w:tcPr>
          <w:p w:rsidR="004947E8" w:rsidRPr="00A65F84" w:rsidRDefault="004947E8" w:rsidP="00650CE4">
            <w:pPr>
              <w:pStyle w:val="NoSpacing"/>
              <w:ind w:left="-109"/>
              <w:jc w:val="both"/>
              <w:rPr>
                <w:color w:val="000000" w:themeColor="text1"/>
                <w:sz w:val="16"/>
                <w:szCs w:val="16"/>
              </w:rPr>
            </w:pPr>
            <w:r w:rsidRPr="00A65F84">
              <w:rPr>
                <w:color w:val="000000" w:themeColor="text1"/>
                <w:sz w:val="16"/>
                <w:szCs w:val="16"/>
              </w:rPr>
              <w:t>Capital outlay</w:t>
            </w:r>
          </w:p>
        </w:tc>
        <w:tc>
          <w:tcPr>
            <w:tcW w:w="1440" w:type="dxa"/>
            <w:vAlign w:val="bottom"/>
          </w:tcPr>
          <w:p w:rsidR="004947E8" w:rsidRPr="00A65F84" w:rsidRDefault="005C0558" w:rsidP="00650CE4">
            <w:pPr>
              <w:pStyle w:val="NoSpacing"/>
              <w:jc w:val="right"/>
              <w:rPr>
                <w:color w:val="000000" w:themeColor="text1"/>
                <w:sz w:val="16"/>
                <w:szCs w:val="16"/>
              </w:rPr>
            </w:pPr>
            <w:r w:rsidRPr="00A65F84">
              <w:rPr>
                <w:color w:val="000000" w:themeColor="text1"/>
                <w:sz w:val="16"/>
                <w:szCs w:val="16"/>
              </w:rPr>
              <w:t>181.272</w:t>
            </w:r>
          </w:p>
        </w:tc>
        <w:tc>
          <w:tcPr>
            <w:tcW w:w="1251" w:type="dxa"/>
            <w:vAlign w:val="bottom"/>
          </w:tcPr>
          <w:p w:rsidR="004947E8" w:rsidRPr="00A65F84" w:rsidRDefault="005C0558" w:rsidP="00650CE4">
            <w:pPr>
              <w:pStyle w:val="NoSpacing"/>
              <w:jc w:val="right"/>
              <w:rPr>
                <w:color w:val="000000" w:themeColor="text1"/>
                <w:sz w:val="16"/>
                <w:szCs w:val="16"/>
              </w:rPr>
            </w:pPr>
            <w:r w:rsidRPr="00A65F84">
              <w:rPr>
                <w:color w:val="000000" w:themeColor="text1"/>
                <w:sz w:val="16"/>
                <w:szCs w:val="16"/>
              </w:rPr>
              <w:t>22.871</w:t>
            </w:r>
          </w:p>
        </w:tc>
        <w:tc>
          <w:tcPr>
            <w:tcW w:w="1296" w:type="dxa"/>
            <w:vAlign w:val="bottom"/>
          </w:tcPr>
          <w:p w:rsidR="004947E8" w:rsidRPr="00A65F84" w:rsidRDefault="005C0558" w:rsidP="00650CE4">
            <w:pPr>
              <w:pStyle w:val="NoSpacing"/>
              <w:ind w:right="-76"/>
              <w:jc w:val="right"/>
              <w:rPr>
                <w:color w:val="000000" w:themeColor="text1"/>
                <w:sz w:val="16"/>
                <w:szCs w:val="16"/>
              </w:rPr>
            </w:pPr>
            <w:r w:rsidRPr="00A65F84">
              <w:rPr>
                <w:color w:val="000000" w:themeColor="text1"/>
                <w:sz w:val="16"/>
                <w:szCs w:val="16"/>
              </w:rPr>
              <w:fldChar w:fldCharType="begin"/>
            </w:r>
            <w:r w:rsidRPr="00A65F84">
              <w:rPr>
                <w:color w:val="000000" w:themeColor="text1"/>
                <w:sz w:val="16"/>
                <w:szCs w:val="16"/>
              </w:rPr>
              <w:instrText xml:space="preserve"> =b5-c5 \# "#,##0.000;(#,##0.000)" </w:instrText>
            </w:r>
            <w:r w:rsidRPr="00A65F84">
              <w:rPr>
                <w:color w:val="000000" w:themeColor="text1"/>
                <w:sz w:val="16"/>
                <w:szCs w:val="16"/>
              </w:rPr>
              <w:fldChar w:fldCharType="separate"/>
            </w:r>
            <w:r w:rsidRPr="00A65F84">
              <w:rPr>
                <w:noProof/>
                <w:color w:val="000000" w:themeColor="text1"/>
                <w:sz w:val="16"/>
                <w:szCs w:val="16"/>
              </w:rPr>
              <w:t xml:space="preserve"> 158.401</w:t>
            </w:r>
            <w:r w:rsidRPr="00A65F84">
              <w:rPr>
                <w:color w:val="000000" w:themeColor="text1"/>
                <w:sz w:val="16"/>
                <w:szCs w:val="16"/>
              </w:rPr>
              <w:fldChar w:fldCharType="end"/>
            </w:r>
          </w:p>
        </w:tc>
      </w:tr>
      <w:tr w:rsidR="004947E8" w:rsidRPr="00A65F84" w:rsidTr="00650CE4">
        <w:tc>
          <w:tcPr>
            <w:tcW w:w="4680" w:type="dxa"/>
          </w:tcPr>
          <w:p w:rsidR="004947E8" w:rsidRPr="00A65F84" w:rsidRDefault="004947E8" w:rsidP="00650CE4">
            <w:pPr>
              <w:pStyle w:val="NoSpacing"/>
              <w:ind w:left="-109"/>
              <w:jc w:val="both"/>
              <w:rPr>
                <w:color w:val="000000" w:themeColor="text1"/>
                <w:sz w:val="16"/>
                <w:szCs w:val="16"/>
              </w:rPr>
            </w:pPr>
            <w:r w:rsidRPr="00A65F84">
              <w:rPr>
                <w:color w:val="000000" w:themeColor="text1"/>
                <w:sz w:val="16"/>
                <w:szCs w:val="16"/>
              </w:rPr>
              <w:t>Financial Expenses</w:t>
            </w:r>
          </w:p>
        </w:tc>
        <w:tc>
          <w:tcPr>
            <w:tcW w:w="1440" w:type="dxa"/>
            <w:vAlign w:val="bottom"/>
          </w:tcPr>
          <w:p w:rsidR="004947E8" w:rsidRPr="00A65F84" w:rsidRDefault="005C0558" w:rsidP="00650CE4">
            <w:pPr>
              <w:pStyle w:val="NoSpacing"/>
              <w:jc w:val="right"/>
              <w:rPr>
                <w:color w:val="000000" w:themeColor="text1"/>
                <w:sz w:val="16"/>
                <w:szCs w:val="16"/>
              </w:rPr>
            </w:pPr>
            <w:r w:rsidRPr="00A65F84">
              <w:rPr>
                <w:color w:val="000000" w:themeColor="text1"/>
                <w:sz w:val="16"/>
                <w:szCs w:val="16"/>
              </w:rPr>
              <w:t>0.019</w:t>
            </w:r>
          </w:p>
        </w:tc>
        <w:tc>
          <w:tcPr>
            <w:tcW w:w="1251" w:type="dxa"/>
            <w:vAlign w:val="bottom"/>
          </w:tcPr>
          <w:p w:rsidR="004947E8" w:rsidRPr="00A65F84" w:rsidRDefault="005C0558" w:rsidP="00650CE4">
            <w:pPr>
              <w:pStyle w:val="NoSpacing"/>
              <w:jc w:val="right"/>
              <w:rPr>
                <w:color w:val="000000" w:themeColor="text1"/>
                <w:sz w:val="16"/>
                <w:szCs w:val="16"/>
              </w:rPr>
            </w:pPr>
            <w:r w:rsidRPr="00A65F84">
              <w:rPr>
                <w:color w:val="000000" w:themeColor="text1"/>
                <w:sz w:val="16"/>
                <w:szCs w:val="16"/>
              </w:rPr>
              <w:t>0.047</w:t>
            </w:r>
          </w:p>
        </w:tc>
        <w:tc>
          <w:tcPr>
            <w:tcW w:w="1296" w:type="dxa"/>
            <w:vAlign w:val="bottom"/>
          </w:tcPr>
          <w:p w:rsidR="004947E8" w:rsidRPr="00A65F84" w:rsidRDefault="005C0558" w:rsidP="00650CE4">
            <w:pPr>
              <w:pStyle w:val="NoSpacing"/>
              <w:ind w:right="-76"/>
              <w:jc w:val="right"/>
              <w:rPr>
                <w:color w:val="000000" w:themeColor="text1"/>
                <w:sz w:val="16"/>
                <w:szCs w:val="16"/>
              </w:rPr>
            </w:pPr>
            <w:r w:rsidRPr="00A65F84">
              <w:rPr>
                <w:color w:val="000000" w:themeColor="text1"/>
                <w:sz w:val="16"/>
                <w:szCs w:val="16"/>
              </w:rPr>
              <w:fldChar w:fldCharType="begin"/>
            </w:r>
            <w:r w:rsidRPr="00A65F84">
              <w:rPr>
                <w:color w:val="000000" w:themeColor="text1"/>
                <w:sz w:val="16"/>
                <w:szCs w:val="16"/>
              </w:rPr>
              <w:instrText xml:space="preserve"> =b6-c6 \# "0.000;(0.000)" </w:instrText>
            </w:r>
            <w:r w:rsidRPr="00A65F84">
              <w:rPr>
                <w:color w:val="000000" w:themeColor="text1"/>
                <w:sz w:val="16"/>
                <w:szCs w:val="16"/>
              </w:rPr>
              <w:fldChar w:fldCharType="separate"/>
            </w:r>
            <w:r w:rsidRPr="00A65F84">
              <w:rPr>
                <w:noProof/>
                <w:color w:val="000000" w:themeColor="text1"/>
                <w:sz w:val="16"/>
                <w:szCs w:val="16"/>
              </w:rPr>
              <w:t>(0.028)</w:t>
            </w:r>
            <w:r w:rsidRPr="00A65F84">
              <w:rPr>
                <w:color w:val="000000" w:themeColor="text1"/>
                <w:sz w:val="16"/>
                <w:szCs w:val="16"/>
              </w:rPr>
              <w:fldChar w:fldCharType="end"/>
            </w:r>
          </w:p>
        </w:tc>
      </w:tr>
      <w:tr w:rsidR="004947E8" w:rsidRPr="00A65F84" w:rsidTr="008C51BB">
        <w:tc>
          <w:tcPr>
            <w:tcW w:w="4680" w:type="dxa"/>
            <w:tcBorders>
              <w:bottom w:val="single" w:sz="4" w:space="0" w:color="auto"/>
            </w:tcBorders>
          </w:tcPr>
          <w:p w:rsidR="004947E8" w:rsidRPr="00A65F84" w:rsidRDefault="004947E8" w:rsidP="00650CE4">
            <w:pPr>
              <w:pStyle w:val="NoSpacing"/>
              <w:ind w:left="-109"/>
              <w:jc w:val="both"/>
              <w:rPr>
                <w:color w:val="000000" w:themeColor="text1"/>
                <w:sz w:val="16"/>
                <w:szCs w:val="16"/>
              </w:rPr>
            </w:pPr>
            <w:r w:rsidRPr="00A65F84">
              <w:rPr>
                <w:color w:val="000000" w:themeColor="text1"/>
                <w:sz w:val="16"/>
                <w:szCs w:val="16"/>
              </w:rPr>
              <w:t>Accounts payable</w:t>
            </w:r>
          </w:p>
        </w:tc>
        <w:tc>
          <w:tcPr>
            <w:tcW w:w="1440" w:type="dxa"/>
            <w:tcBorders>
              <w:bottom w:val="single" w:sz="4" w:space="0" w:color="auto"/>
            </w:tcBorders>
            <w:vAlign w:val="bottom"/>
          </w:tcPr>
          <w:p w:rsidR="004947E8" w:rsidRPr="00A65F84" w:rsidRDefault="005C0558" w:rsidP="00650CE4">
            <w:pPr>
              <w:pStyle w:val="NoSpacing"/>
              <w:jc w:val="right"/>
              <w:rPr>
                <w:color w:val="000000" w:themeColor="text1"/>
                <w:sz w:val="16"/>
                <w:szCs w:val="16"/>
              </w:rPr>
            </w:pPr>
            <w:r w:rsidRPr="00A65F84">
              <w:rPr>
                <w:color w:val="000000" w:themeColor="text1"/>
                <w:sz w:val="16"/>
                <w:szCs w:val="16"/>
              </w:rPr>
              <w:t>54.452</w:t>
            </w:r>
          </w:p>
        </w:tc>
        <w:tc>
          <w:tcPr>
            <w:tcW w:w="1251" w:type="dxa"/>
            <w:tcBorders>
              <w:bottom w:val="single" w:sz="4" w:space="0" w:color="auto"/>
            </w:tcBorders>
            <w:vAlign w:val="bottom"/>
          </w:tcPr>
          <w:p w:rsidR="004947E8" w:rsidRPr="00A65F84" w:rsidRDefault="005C0558" w:rsidP="00650CE4">
            <w:pPr>
              <w:pStyle w:val="NoSpacing"/>
              <w:jc w:val="right"/>
              <w:rPr>
                <w:color w:val="000000" w:themeColor="text1"/>
                <w:sz w:val="16"/>
                <w:szCs w:val="16"/>
              </w:rPr>
            </w:pPr>
            <w:r w:rsidRPr="00A65F84">
              <w:rPr>
                <w:color w:val="000000" w:themeColor="text1"/>
                <w:sz w:val="16"/>
                <w:szCs w:val="16"/>
              </w:rPr>
              <w:t>15.954</w:t>
            </w:r>
          </w:p>
        </w:tc>
        <w:tc>
          <w:tcPr>
            <w:tcW w:w="1296" w:type="dxa"/>
            <w:tcBorders>
              <w:bottom w:val="single" w:sz="4" w:space="0" w:color="auto"/>
            </w:tcBorders>
            <w:vAlign w:val="bottom"/>
          </w:tcPr>
          <w:p w:rsidR="004947E8" w:rsidRPr="00A65F84" w:rsidRDefault="005C0558" w:rsidP="00650CE4">
            <w:pPr>
              <w:pStyle w:val="NoSpacing"/>
              <w:ind w:right="-76"/>
              <w:jc w:val="right"/>
              <w:rPr>
                <w:color w:val="000000" w:themeColor="text1"/>
                <w:sz w:val="16"/>
                <w:szCs w:val="16"/>
              </w:rPr>
            </w:pPr>
            <w:r w:rsidRPr="00A65F84">
              <w:rPr>
                <w:color w:val="000000" w:themeColor="text1"/>
                <w:sz w:val="16"/>
                <w:szCs w:val="16"/>
              </w:rPr>
              <w:fldChar w:fldCharType="begin"/>
            </w:r>
            <w:r w:rsidRPr="00A65F84">
              <w:rPr>
                <w:color w:val="000000" w:themeColor="text1"/>
                <w:sz w:val="16"/>
                <w:szCs w:val="16"/>
              </w:rPr>
              <w:instrText xml:space="preserve"> =b7-c7 \# "#,##0.000;(#,##0.000)" </w:instrText>
            </w:r>
            <w:r w:rsidRPr="00A65F84">
              <w:rPr>
                <w:color w:val="000000" w:themeColor="text1"/>
                <w:sz w:val="16"/>
                <w:szCs w:val="16"/>
              </w:rPr>
              <w:fldChar w:fldCharType="separate"/>
            </w:r>
            <w:r w:rsidRPr="00A65F84">
              <w:rPr>
                <w:noProof/>
                <w:color w:val="000000" w:themeColor="text1"/>
                <w:sz w:val="16"/>
                <w:szCs w:val="16"/>
              </w:rPr>
              <w:t xml:space="preserve">  38.498</w:t>
            </w:r>
            <w:r w:rsidRPr="00A65F84">
              <w:rPr>
                <w:color w:val="000000" w:themeColor="text1"/>
                <w:sz w:val="16"/>
                <w:szCs w:val="16"/>
              </w:rPr>
              <w:fldChar w:fldCharType="end"/>
            </w:r>
          </w:p>
        </w:tc>
      </w:tr>
      <w:tr w:rsidR="004947E8" w:rsidRPr="00A65F84" w:rsidTr="008C51BB">
        <w:tc>
          <w:tcPr>
            <w:tcW w:w="4680" w:type="dxa"/>
            <w:tcBorders>
              <w:top w:val="single" w:sz="4" w:space="0" w:color="auto"/>
              <w:bottom w:val="double" w:sz="4" w:space="0" w:color="auto"/>
            </w:tcBorders>
            <w:vAlign w:val="bottom"/>
          </w:tcPr>
          <w:p w:rsidR="004947E8" w:rsidRPr="00A65F84" w:rsidRDefault="004947E8" w:rsidP="00650CE4">
            <w:pPr>
              <w:pStyle w:val="NoSpacing"/>
              <w:ind w:left="-109"/>
              <w:jc w:val="both"/>
              <w:rPr>
                <w:color w:val="000000" w:themeColor="text1"/>
                <w:sz w:val="16"/>
                <w:szCs w:val="16"/>
              </w:rPr>
            </w:pPr>
          </w:p>
        </w:tc>
        <w:tc>
          <w:tcPr>
            <w:tcW w:w="1440" w:type="dxa"/>
            <w:tcBorders>
              <w:top w:val="single" w:sz="4" w:space="0" w:color="auto"/>
              <w:bottom w:val="double" w:sz="4" w:space="0" w:color="auto"/>
            </w:tcBorders>
            <w:vAlign w:val="bottom"/>
          </w:tcPr>
          <w:p w:rsidR="004947E8" w:rsidRPr="00A65F84" w:rsidRDefault="00B573D6" w:rsidP="00650CE4">
            <w:pPr>
              <w:pStyle w:val="NoSpacing"/>
              <w:jc w:val="right"/>
              <w:rPr>
                <w:color w:val="000000" w:themeColor="text1"/>
                <w:sz w:val="16"/>
                <w:szCs w:val="16"/>
              </w:rPr>
            </w:pPr>
            <w:r w:rsidRPr="00A65F84">
              <w:rPr>
                <w:color w:val="000000" w:themeColor="text1"/>
                <w:sz w:val="16"/>
                <w:szCs w:val="16"/>
              </w:rPr>
              <w:fldChar w:fldCharType="begin"/>
            </w:r>
            <w:r w:rsidRPr="00A65F84">
              <w:rPr>
                <w:color w:val="000000" w:themeColor="text1"/>
                <w:sz w:val="16"/>
                <w:szCs w:val="16"/>
              </w:rPr>
              <w:instrText xml:space="preserve"> =sum(b2:b7) \# "#,##0.000;(#,##0.000)" </w:instrText>
            </w:r>
            <w:r w:rsidRPr="00A65F84">
              <w:rPr>
                <w:color w:val="000000" w:themeColor="text1"/>
                <w:sz w:val="16"/>
                <w:szCs w:val="16"/>
              </w:rPr>
              <w:fldChar w:fldCharType="separate"/>
            </w:r>
            <w:r w:rsidRPr="00A65F84">
              <w:rPr>
                <w:noProof/>
                <w:color w:val="000000" w:themeColor="text1"/>
                <w:sz w:val="16"/>
                <w:szCs w:val="16"/>
              </w:rPr>
              <w:t>1,101.345</w:t>
            </w:r>
            <w:r w:rsidRPr="00A65F84">
              <w:rPr>
                <w:color w:val="000000" w:themeColor="text1"/>
                <w:sz w:val="16"/>
                <w:szCs w:val="16"/>
              </w:rPr>
              <w:fldChar w:fldCharType="end"/>
            </w:r>
          </w:p>
        </w:tc>
        <w:tc>
          <w:tcPr>
            <w:tcW w:w="1251" w:type="dxa"/>
            <w:tcBorders>
              <w:top w:val="single" w:sz="4" w:space="0" w:color="auto"/>
              <w:bottom w:val="double" w:sz="4" w:space="0" w:color="auto"/>
            </w:tcBorders>
            <w:vAlign w:val="bottom"/>
          </w:tcPr>
          <w:p w:rsidR="004947E8" w:rsidRPr="00A65F84" w:rsidRDefault="00B573D6" w:rsidP="00650CE4">
            <w:pPr>
              <w:pStyle w:val="NoSpacing"/>
              <w:jc w:val="right"/>
              <w:rPr>
                <w:color w:val="000000" w:themeColor="text1"/>
                <w:sz w:val="16"/>
                <w:szCs w:val="16"/>
              </w:rPr>
            </w:pPr>
            <w:r w:rsidRPr="00A65F84">
              <w:rPr>
                <w:color w:val="000000" w:themeColor="text1"/>
                <w:sz w:val="16"/>
                <w:szCs w:val="16"/>
              </w:rPr>
              <w:fldChar w:fldCharType="begin"/>
            </w:r>
            <w:r w:rsidRPr="00A65F84">
              <w:rPr>
                <w:color w:val="000000" w:themeColor="text1"/>
                <w:sz w:val="16"/>
                <w:szCs w:val="16"/>
              </w:rPr>
              <w:instrText xml:space="preserve"> =SUM(c2:c7) </w:instrText>
            </w:r>
            <w:r w:rsidRPr="00A65F84">
              <w:rPr>
                <w:color w:val="000000" w:themeColor="text1"/>
                <w:sz w:val="16"/>
                <w:szCs w:val="16"/>
              </w:rPr>
              <w:fldChar w:fldCharType="separate"/>
            </w:r>
            <w:r w:rsidRPr="00A65F84">
              <w:rPr>
                <w:noProof/>
                <w:color w:val="000000" w:themeColor="text1"/>
                <w:sz w:val="16"/>
                <w:szCs w:val="16"/>
              </w:rPr>
              <w:t>631.085</w:t>
            </w:r>
            <w:r w:rsidRPr="00A65F84">
              <w:rPr>
                <w:color w:val="000000" w:themeColor="text1"/>
                <w:sz w:val="16"/>
                <w:szCs w:val="16"/>
              </w:rPr>
              <w:fldChar w:fldCharType="end"/>
            </w:r>
          </w:p>
        </w:tc>
        <w:tc>
          <w:tcPr>
            <w:tcW w:w="1296" w:type="dxa"/>
            <w:tcBorders>
              <w:top w:val="single" w:sz="4" w:space="0" w:color="auto"/>
              <w:bottom w:val="double" w:sz="4" w:space="0" w:color="auto"/>
            </w:tcBorders>
            <w:vAlign w:val="bottom"/>
          </w:tcPr>
          <w:p w:rsidR="004947E8" w:rsidRPr="00A65F84" w:rsidRDefault="00B573D6" w:rsidP="00650CE4">
            <w:pPr>
              <w:pStyle w:val="NoSpacing"/>
              <w:ind w:right="-76"/>
              <w:jc w:val="right"/>
              <w:rPr>
                <w:color w:val="000000" w:themeColor="text1"/>
                <w:sz w:val="16"/>
                <w:szCs w:val="16"/>
              </w:rPr>
            </w:pPr>
            <w:r w:rsidRPr="00A65F84">
              <w:rPr>
                <w:color w:val="000000" w:themeColor="text1"/>
                <w:sz w:val="16"/>
                <w:szCs w:val="16"/>
              </w:rPr>
              <w:fldChar w:fldCharType="begin"/>
            </w:r>
            <w:r w:rsidRPr="00A65F84">
              <w:rPr>
                <w:color w:val="000000" w:themeColor="text1"/>
                <w:sz w:val="16"/>
                <w:szCs w:val="16"/>
              </w:rPr>
              <w:instrText xml:space="preserve"> =sum(d2:d7) \# "#,##0.000;(#,##0.000)" </w:instrText>
            </w:r>
            <w:r w:rsidRPr="00A65F84">
              <w:rPr>
                <w:color w:val="000000" w:themeColor="text1"/>
                <w:sz w:val="16"/>
                <w:szCs w:val="16"/>
              </w:rPr>
              <w:fldChar w:fldCharType="separate"/>
            </w:r>
            <w:r w:rsidRPr="00A65F84">
              <w:rPr>
                <w:noProof/>
                <w:color w:val="000000" w:themeColor="text1"/>
                <w:sz w:val="16"/>
                <w:szCs w:val="16"/>
              </w:rPr>
              <w:t xml:space="preserve"> 470.260</w:t>
            </w:r>
            <w:r w:rsidRPr="00A65F84">
              <w:rPr>
                <w:color w:val="000000" w:themeColor="text1"/>
                <w:sz w:val="16"/>
                <w:szCs w:val="16"/>
              </w:rPr>
              <w:fldChar w:fldCharType="end"/>
            </w:r>
          </w:p>
        </w:tc>
      </w:tr>
    </w:tbl>
    <w:p w:rsidR="004947E8" w:rsidRPr="00650CE4" w:rsidRDefault="004947E8" w:rsidP="005C0558">
      <w:pPr>
        <w:pStyle w:val="NoSpacing"/>
        <w:jc w:val="both"/>
        <w:rPr>
          <w:rFonts w:ascii="Arial" w:hAnsi="Arial" w:cs="Arial"/>
          <w:b/>
        </w:rPr>
      </w:pPr>
      <w:r w:rsidRPr="00650CE4">
        <w:rPr>
          <w:rFonts w:ascii="Arial" w:hAnsi="Arial" w:cs="Arial"/>
          <w:b/>
        </w:rPr>
        <w:lastRenderedPageBreak/>
        <w:t>SCOPE OF AUDIT</w:t>
      </w:r>
    </w:p>
    <w:p w:rsidR="004947E8" w:rsidRPr="00A1086B" w:rsidRDefault="004947E8" w:rsidP="005C0558">
      <w:pPr>
        <w:pStyle w:val="NoSpacing"/>
        <w:jc w:val="both"/>
        <w:rPr>
          <w:rFonts w:ascii="Arial" w:hAnsi="Arial" w:cs="Arial"/>
          <w:sz w:val="20"/>
          <w:szCs w:val="20"/>
        </w:rPr>
      </w:pPr>
    </w:p>
    <w:p w:rsidR="004947E8" w:rsidRPr="005C0558" w:rsidRDefault="00CF63A8" w:rsidP="005C0558">
      <w:pPr>
        <w:pStyle w:val="NoSpacing"/>
        <w:jc w:val="both"/>
        <w:rPr>
          <w:rFonts w:ascii="Arial" w:eastAsia="Calibri" w:hAnsi="Arial" w:cs="Arial"/>
          <w:color w:val="000000"/>
        </w:rPr>
      </w:pPr>
      <w:r>
        <w:rPr>
          <w:rFonts w:ascii="Arial" w:eastAsia="Calibri" w:hAnsi="Arial" w:cs="Arial"/>
          <w:color w:val="000000"/>
        </w:rPr>
        <w:t xml:space="preserve">The audit covered the examination, on a test basis, of the accounts and financial transactions of </w:t>
      </w:r>
      <w:r w:rsidR="004947E8" w:rsidRPr="005C0558">
        <w:rPr>
          <w:rFonts w:ascii="Arial" w:eastAsia="Calibri" w:hAnsi="Arial" w:cs="Arial"/>
          <w:color w:val="000000"/>
        </w:rPr>
        <w:t>N</w:t>
      </w:r>
      <w:r w:rsidR="004947E8" w:rsidRPr="005C0558">
        <w:rPr>
          <w:rFonts w:ascii="Arial" w:hAnsi="Arial" w:cs="Arial"/>
          <w:color w:val="000000"/>
        </w:rPr>
        <w:t>T</w:t>
      </w:r>
      <w:r w:rsidR="004947E8" w:rsidRPr="005C0558">
        <w:rPr>
          <w:rFonts w:ascii="Arial" w:eastAsia="Calibri" w:hAnsi="Arial" w:cs="Arial"/>
          <w:color w:val="000000"/>
        </w:rPr>
        <w:t xml:space="preserve">A for </w:t>
      </w:r>
      <w:r>
        <w:rPr>
          <w:rFonts w:ascii="Arial" w:eastAsia="Calibri" w:hAnsi="Arial" w:cs="Arial"/>
          <w:color w:val="000000"/>
        </w:rPr>
        <w:t>the period January 1 to December 31, 2018 in accordance with International Standards of Supreme Audit Institutions to enable us to express an opinion on the fairness of the presentation of the financial statements for the years ended December 31, 2018 and 2017</w:t>
      </w:r>
      <w:r w:rsidR="004947E8" w:rsidRPr="005C0558">
        <w:rPr>
          <w:rFonts w:ascii="Arial" w:eastAsia="Calibri" w:hAnsi="Arial" w:cs="Arial"/>
          <w:color w:val="000000"/>
        </w:rPr>
        <w:t xml:space="preserve">. </w:t>
      </w:r>
      <w:r>
        <w:rPr>
          <w:rFonts w:ascii="Arial" w:eastAsia="Calibri" w:hAnsi="Arial" w:cs="Arial"/>
          <w:color w:val="000000"/>
        </w:rPr>
        <w:t xml:space="preserve">Also, we conducted our </w:t>
      </w:r>
      <w:r w:rsidR="004947E8" w:rsidRPr="005C0558">
        <w:rPr>
          <w:rFonts w:ascii="Arial" w:eastAsia="Calibri" w:hAnsi="Arial" w:cs="Arial"/>
          <w:color w:val="000000"/>
        </w:rPr>
        <w:t xml:space="preserve">audit </w:t>
      </w:r>
      <w:r>
        <w:rPr>
          <w:rFonts w:ascii="Arial" w:eastAsia="Calibri" w:hAnsi="Arial" w:cs="Arial"/>
          <w:color w:val="000000"/>
        </w:rPr>
        <w:t xml:space="preserve">to assess compliance with pertinent </w:t>
      </w:r>
      <w:r w:rsidR="004947E8" w:rsidRPr="005C0558">
        <w:rPr>
          <w:rFonts w:ascii="Arial" w:eastAsia="Calibri" w:hAnsi="Arial" w:cs="Arial"/>
          <w:color w:val="000000"/>
        </w:rPr>
        <w:t>laws, rules and regulations</w:t>
      </w:r>
      <w:r>
        <w:rPr>
          <w:rFonts w:ascii="Arial" w:eastAsia="Calibri" w:hAnsi="Arial" w:cs="Arial"/>
          <w:color w:val="000000"/>
        </w:rPr>
        <w:t>, as well as, adherence to prescribed policies and procedures.</w:t>
      </w:r>
    </w:p>
    <w:p w:rsidR="004947E8" w:rsidRPr="00A1086B" w:rsidRDefault="004947E8" w:rsidP="005C0558">
      <w:pPr>
        <w:pStyle w:val="NoSpacing"/>
        <w:jc w:val="both"/>
        <w:rPr>
          <w:rFonts w:ascii="Arial" w:hAnsi="Arial" w:cs="Arial"/>
          <w:sz w:val="20"/>
          <w:szCs w:val="20"/>
        </w:rPr>
      </w:pPr>
    </w:p>
    <w:p w:rsidR="004947E8" w:rsidRPr="00A1086B" w:rsidRDefault="004947E8" w:rsidP="005C0558">
      <w:pPr>
        <w:pStyle w:val="NoSpacing"/>
        <w:jc w:val="both"/>
        <w:rPr>
          <w:rFonts w:ascii="Arial" w:hAnsi="Arial" w:cs="Arial"/>
          <w:sz w:val="20"/>
          <w:szCs w:val="20"/>
        </w:rPr>
      </w:pPr>
    </w:p>
    <w:p w:rsidR="004947E8" w:rsidRPr="00650CE4" w:rsidRDefault="00546748" w:rsidP="005C0558">
      <w:pPr>
        <w:pStyle w:val="NoSpacing"/>
        <w:jc w:val="both"/>
        <w:rPr>
          <w:rFonts w:ascii="Arial" w:hAnsi="Arial" w:cs="Arial"/>
          <w:b/>
        </w:rPr>
      </w:pPr>
      <w:r>
        <w:rPr>
          <w:rFonts w:ascii="Arial" w:hAnsi="Arial" w:cs="Arial"/>
          <w:b/>
        </w:rPr>
        <w:t>INDEPENDENT AUDITOR’S REPORT ON THE FINANCIAL STATEMENTS</w:t>
      </w:r>
    </w:p>
    <w:p w:rsidR="004947E8" w:rsidRPr="00A1086B" w:rsidRDefault="004947E8" w:rsidP="005C0558">
      <w:pPr>
        <w:pStyle w:val="NoSpacing"/>
        <w:jc w:val="both"/>
        <w:rPr>
          <w:rFonts w:ascii="Arial" w:hAnsi="Arial" w:cs="Arial"/>
          <w:sz w:val="20"/>
          <w:szCs w:val="20"/>
        </w:rPr>
      </w:pPr>
    </w:p>
    <w:p w:rsidR="004947E8" w:rsidRPr="005C0558" w:rsidRDefault="004947E8" w:rsidP="005C0558">
      <w:pPr>
        <w:pStyle w:val="NoSpacing"/>
        <w:jc w:val="both"/>
        <w:rPr>
          <w:rFonts w:ascii="Arial" w:hAnsi="Arial" w:cs="Arial"/>
          <w:color w:val="000000" w:themeColor="text1"/>
        </w:rPr>
      </w:pPr>
      <w:r w:rsidRPr="005C0558">
        <w:rPr>
          <w:rFonts w:ascii="Arial" w:hAnsi="Arial" w:cs="Arial"/>
          <w:color w:val="000000" w:themeColor="text1"/>
        </w:rPr>
        <w:t>We rendered a qualified opinion on the fairness of the presentation of the financial statements in view of the following:</w:t>
      </w:r>
    </w:p>
    <w:p w:rsidR="004947E8" w:rsidRPr="00A1086B" w:rsidRDefault="004947E8" w:rsidP="005C0558">
      <w:pPr>
        <w:pStyle w:val="NoSpacing"/>
        <w:jc w:val="both"/>
        <w:rPr>
          <w:rFonts w:ascii="Arial" w:hAnsi="Arial" w:cs="Arial"/>
          <w:sz w:val="20"/>
          <w:szCs w:val="20"/>
        </w:rPr>
      </w:pPr>
    </w:p>
    <w:p w:rsidR="00C87066" w:rsidRPr="00A1086B" w:rsidRDefault="00B04457" w:rsidP="00565AD3">
      <w:pPr>
        <w:pStyle w:val="NoSpacing"/>
        <w:numPr>
          <w:ilvl w:val="0"/>
          <w:numId w:val="10"/>
        </w:numPr>
        <w:ind w:left="0" w:firstLine="0"/>
        <w:jc w:val="both"/>
        <w:rPr>
          <w:rFonts w:ascii="Arial" w:hAnsi="Arial" w:cs="Arial"/>
          <w:sz w:val="20"/>
          <w:szCs w:val="20"/>
        </w:rPr>
      </w:pPr>
      <w:r w:rsidRPr="00A1086B">
        <w:rPr>
          <w:rFonts w:ascii="Arial" w:hAnsi="Arial" w:cs="Arial"/>
        </w:rPr>
        <w:t xml:space="preserve">The </w:t>
      </w:r>
      <w:r w:rsidRPr="00A1086B">
        <w:rPr>
          <w:rFonts w:ascii="Arial" w:hAnsi="Arial" w:cs="Arial"/>
          <w:color w:val="000000"/>
        </w:rPr>
        <w:t>net</w:t>
      </w:r>
      <w:r w:rsidRPr="00A1086B">
        <w:rPr>
          <w:rFonts w:ascii="Arial" w:hAnsi="Arial" w:cs="Arial"/>
        </w:rPr>
        <w:t xml:space="preserve"> amount of Receivables and Other Current and Non-Current Assets accounts were overstated and the Allowance for Impairment Losses was understated by an aggregate amount of P130.495 million and P137.119 million as of December 31, 2018 and 2017, respectively, contrary to NTA's policy on the measurement and revaluation of Receivables.  The reliability and recoverability of dormant asset accounts aggregating P381.425 million, representing 32.23 per cent of the total asset balance of P1.183 billion as at December 31, 2018 are uncertain due to:  (a) undocumented balances carried over from seven defunct tobacco agencies in 1987; (b) outstanding receivables from farmers/traders/cooperatives since 1996; (c) unrecovered investment in bonds with certification from the Securit</w:t>
      </w:r>
      <w:r w:rsidR="00A65F84">
        <w:rPr>
          <w:rFonts w:ascii="Arial" w:hAnsi="Arial" w:cs="Arial"/>
        </w:rPr>
        <w:t>ies</w:t>
      </w:r>
      <w:r w:rsidRPr="00A1086B">
        <w:rPr>
          <w:rFonts w:ascii="Arial" w:hAnsi="Arial" w:cs="Arial"/>
        </w:rPr>
        <w:t xml:space="preserve"> and Exchange Commission that the authority of the traders of the bonds were already revoked; and (d) receivables from officers and employees no longer in the service.  Thus, the fair view of the presentation of the assets in the financial statements is adversely affected.</w:t>
      </w:r>
    </w:p>
    <w:p w:rsidR="00240C25" w:rsidRPr="00A1086B" w:rsidRDefault="00240C25" w:rsidP="00A1086B">
      <w:pPr>
        <w:pStyle w:val="NoSpacing"/>
        <w:rPr>
          <w:rFonts w:ascii="Arial" w:hAnsi="Arial" w:cs="Arial"/>
          <w:sz w:val="20"/>
          <w:szCs w:val="20"/>
        </w:rPr>
      </w:pPr>
    </w:p>
    <w:p w:rsidR="0098554D" w:rsidRPr="00240C25" w:rsidRDefault="001D598B" w:rsidP="00565AD3">
      <w:pPr>
        <w:pStyle w:val="NoSpacing"/>
        <w:numPr>
          <w:ilvl w:val="0"/>
          <w:numId w:val="10"/>
        </w:numPr>
        <w:ind w:left="0" w:firstLine="0"/>
        <w:jc w:val="both"/>
        <w:rPr>
          <w:rFonts w:ascii="Arial" w:hAnsi="Arial" w:cs="Arial"/>
        </w:rPr>
      </w:pPr>
      <w:r>
        <w:rPr>
          <w:rFonts w:ascii="Arial" w:hAnsi="Arial" w:cs="Arial"/>
          <w:color w:val="000000"/>
        </w:rPr>
        <w:t>The Property, Plant and Equip</w:t>
      </w:r>
      <w:r w:rsidR="005A3B4D">
        <w:rPr>
          <w:rFonts w:ascii="Arial" w:hAnsi="Arial" w:cs="Arial"/>
          <w:color w:val="000000"/>
        </w:rPr>
        <w:t>ment (PPE) is presented in the S</w:t>
      </w:r>
      <w:r>
        <w:rPr>
          <w:rFonts w:ascii="Arial" w:hAnsi="Arial" w:cs="Arial"/>
          <w:color w:val="000000"/>
        </w:rPr>
        <w:t xml:space="preserve">tatement of </w:t>
      </w:r>
      <w:r w:rsidR="005A3B4D">
        <w:rPr>
          <w:rFonts w:ascii="Arial" w:hAnsi="Arial" w:cs="Arial"/>
          <w:color w:val="000000"/>
        </w:rPr>
        <w:t xml:space="preserve">Financial </w:t>
      </w:r>
      <w:r w:rsidR="005A3B4D" w:rsidRPr="00A1086B">
        <w:rPr>
          <w:rFonts w:ascii="Arial" w:hAnsi="Arial" w:cs="Arial"/>
        </w:rPr>
        <w:t>P</w:t>
      </w:r>
      <w:r w:rsidRPr="00A1086B">
        <w:rPr>
          <w:rFonts w:ascii="Arial" w:hAnsi="Arial" w:cs="Arial"/>
        </w:rPr>
        <w:t>osition</w:t>
      </w:r>
      <w:r>
        <w:rPr>
          <w:rFonts w:ascii="Arial" w:hAnsi="Arial" w:cs="Arial"/>
          <w:color w:val="000000"/>
        </w:rPr>
        <w:t xml:space="preserve"> at carrying amount of P</w:t>
      </w:r>
      <w:r w:rsidRPr="00C932A6">
        <w:rPr>
          <w:rFonts w:ascii="Arial" w:hAnsi="Arial" w:cs="Arial"/>
          <w:color w:val="000000"/>
        </w:rPr>
        <w:t>477</w:t>
      </w:r>
      <w:r>
        <w:rPr>
          <w:rFonts w:ascii="Arial" w:hAnsi="Arial" w:cs="Arial"/>
          <w:color w:val="000000"/>
        </w:rPr>
        <w:t>.</w:t>
      </w:r>
      <w:r w:rsidRPr="00C932A6">
        <w:rPr>
          <w:rFonts w:ascii="Arial" w:hAnsi="Arial" w:cs="Arial"/>
          <w:color w:val="000000"/>
        </w:rPr>
        <w:t>918</w:t>
      </w:r>
      <w:r>
        <w:rPr>
          <w:rFonts w:ascii="Arial" w:hAnsi="Arial" w:cs="Arial"/>
          <w:color w:val="000000"/>
        </w:rPr>
        <w:t xml:space="preserve"> million as at December 31, 2018. </w:t>
      </w:r>
      <w:r w:rsidR="0070654F" w:rsidRPr="0070654F">
        <w:rPr>
          <w:rFonts w:ascii="Arial" w:hAnsi="Arial" w:cs="Arial"/>
          <w:color w:val="000000"/>
        </w:rPr>
        <w:t xml:space="preserve">However, the Land account balance of P101.315 million per accounting records differed by P155.516 million from the property records.  The cost of the land derecognized from the books for the property sold was overstated by P1.129 million, thus, understating the Land account by the same amount. </w:t>
      </w:r>
      <w:r>
        <w:rPr>
          <w:rFonts w:ascii="Arial" w:hAnsi="Arial" w:cs="Arial"/>
          <w:color w:val="000000"/>
        </w:rPr>
        <w:t>Furthermore, t</w:t>
      </w:r>
      <w:r w:rsidRPr="003D15AA">
        <w:rPr>
          <w:rFonts w:ascii="Arial" w:hAnsi="Arial" w:cs="Arial"/>
          <w:color w:val="000000"/>
        </w:rPr>
        <w:t xml:space="preserve">he </w:t>
      </w:r>
      <w:r>
        <w:rPr>
          <w:rFonts w:ascii="Arial" w:hAnsi="Arial" w:cs="Arial"/>
          <w:color w:val="000000"/>
        </w:rPr>
        <w:t xml:space="preserve">remaining balance of P376.603 million </w:t>
      </w:r>
      <w:r w:rsidR="005A3B4D">
        <w:rPr>
          <w:rFonts w:ascii="Arial" w:hAnsi="Arial" w:cs="Arial"/>
          <w:color w:val="000000"/>
        </w:rPr>
        <w:t xml:space="preserve">of </w:t>
      </w:r>
      <w:r w:rsidRPr="003D15AA">
        <w:rPr>
          <w:rFonts w:ascii="Arial" w:hAnsi="Arial" w:cs="Arial"/>
          <w:color w:val="000000"/>
        </w:rPr>
        <w:t>PPE account, excluding Land, is not reliable due to: (a) discrepancy of P34.170 million between</w:t>
      </w:r>
      <w:r w:rsidR="00A65F84">
        <w:rPr>
          <w:rFonts w:ascii="Arial" w:hAnsi="Arial" w:cs="Arial"/>
          <w:color w:val="000000"/>
        </w:rPr>
        <w:t xml:space="preserve"> the</w:t>
      </w:r>
      <w:r w:rsidRPr="003D15AA">
        <w:rPr>
          <w:rFonts w:ascii="Arial" w:hAnsi="Arial" w:cs="Arial"/>
          <w:color w:val="000000"/>
        </w:rPr>
        <w:t xml:space="preserve"> account</w:t>
      </w:r>
      <w:r w:rsidR="00962E8D">
        <w:rPr>
          <w:rFonts w:ascii="Arial" w:hAnsi="Arial" w:cs="Arial"/>
          <w:color w:val="000000"/>
        </w:rPr>
        <w:t xml:space="preserve">ing and property records of NTA </w:t>
      </w:r>
      <w:r w:rsidRPr="003D15AA">
        <w:rPr>
          <w:rFonts w:ascii="Arial" w:hAnsi="Arial" w:cs="Arial"/>
          <w:color w:val="000000"/>
        </w:rPr>
        <w:t>H</w:t>
      </w:r>
      <w:r>
        <w:rPr>
          <w:rFonts w:ascii="Arial" w:hAnsi="Arial" w:cs="Arial"/>
          <w:color w:val="000000"/>
        </w:rPr>
        <w:t xml:space="preserve">ead </w:t>
      </w:r>
      <w:r w:rsidRPr="003D15AA">
        <w:rPr>
          <w:rFonts w:ascii="Arial" w:hAnsi="Arial" w:cs="Arial"/>
          <w:color w:val="000000"/>
        </w:rPr>
        <w:t>O</w:t>
      </w:r>
      <w:r>
        <w:rPr>
          <w:rFonts w:ascii="Arial" w:hAnsi="Arial" w:cs="Arial"/>
          <w:color w:val="000000"/>
        </w:rPr>
        <w:t>ffice</w:t>
      </w:r>
      <w:r w:rsidRPr="003D15AA">
        <w:rPr>
          <w:rFonts w:ascii="Arial" w:hAnsi="Arial" w:cs="Arial"/>
          <w:color w:val="000000"/>
        </w:rPr>
        <w:t xml:space="preserve">; (b) recognition and depreciation of PPE that are not in accordance with </w:t>
      </w:r>
      <w:r w:rsidR="00C87066" w:rsidRPr="00C87066">
        <w:rPr>
          <w:rFonts w:ascii="Arial" w:hAnsi="Arial" w:cs="Arial"/>
          <w:color w:val="000000"/>
        </w:rPr>
        <w:t xml:space="preserve">paragraphs 14, 19 and 71 </w:t>
      </w:r>
      <w:r w:rsidR="00C87066">
        <w:rPr>
          <w:rFonts w:ascii="Arial" w:hAnsi="Arial" w:cs="Arial"/>
          <w:color w:val="000000"/>
        </w:rPr>
        <w:t xml:space="preserve">of </w:t>
      </w:r>
      <w:r w:rsidR="00962E8D">
        <w:rPr>
          <w:rFonts w:ascii="Arial" w:hAnsi="Arial" w:cs="Arial"/>
          <w:color w:val="000000"/>
        </w:rPr>
        <w:t>Philippine Public Sector Accounting Standards (</w:t>
      </w:r>
      <w:r w:rsidRPr="003D15AA">
        <w:rPr>
          <w:rFonts w:ascii="Arial" w:hAnsi="Arial" w:cs="Arial"/>
          <w:color w:val="000000"/>
        </w:rPr>
        <w:t>PPSAS</w:t>
      </w:r>
      <w:r w:rsidR="00962E8D">
        <w:rPr>
          <w:rFonts w:ascii="Arial" w:hAnsi="Arial" w:cs="Arial"/>
          <w:color w:val="000000"/>
        </w:rPr>
        <w:t>)</w:t>
      </w:r>
      <w:r w:rsidR="00C87066">
        <w:rPr>
          <w:rFonts w:ascii="Arial" w:hAnsi="Arial" w:cs="Arial"/>
          <w:color w:val="000000"/>
        </w:rPr>
        <w:t xml:space="preserve"> 17</w:t>
      </w:r>
      <w:r w:rsidRPr="003D15AA">
        <w:rPr>
          <w:rFonts w:ascii="Arial" w:hAnsi="Arial" w:cs="Arial"/>
          <w:color w:val="000000"/>
        </w:rPr>
        <w:t>; and (c) inclusion of properties sold thru public auction and semi-expendable items in the PPE account of NTA Isabela Branch</w:t>
      </w:r>
      <w:r w:rsidR="00240C25" w:rsidRPr="00240C25">
        <w:rPr>
          <w:rFonts w:ascii="Arial" w:hAnsi="Arial" w:cs="Arial"/>
        </w:rPr>
        <w:t>.</w:t>
      </w:r>
    </w:p>
    <w:p w:rsidR="00240C25" w:rsidRPr="00A1086B" w:rsidRDefault="00240C25" w:rsidP="00962E8D">
      <w:pPr>
        <w:pStyle w:val="NoSpacing"/>
        <w:tabs>
          <w:tab w:val="left" w:pos="709"/>
        </w:tabs>
        <w:jc w:val="both"/>
        <w:rPr>
          <w:rFonts w:ascii="Arial" w:hAnsi="Arial" w:cs="Arial"/>
          <w:sz w:val="20"/>
          <w:szCs w:val="20"/>
        </w:rPr>
      </w:pPr>
    </w:p>
    <w:p w:rsidR="00C87066" w:rsidRPr="00A1086B" w:rsidRDefault="00B04457" w:rsidP="00565AD3">
      <w:pPr>
        <w:pStyle w:val="NoSpacing"/>
        <w:numPr>
          <w:ilvl w:val="0"/>
          <w:numId w:val="10"/>
        </w:numPr>
        <w:ind w:left="0" w:firstLine="0"/>
        <w:jc w:val="both"/>
      </w:pPr>
      <w:r>
        <w:rPr>
          <w:rFonts w:ascii="Arial" w:hAnsi="Arial" w:cs="Arial"/>
        </w:rPr>
        <w:t>The p</w:t>
      </w:r>
      <w:r w:rsidR="00C87066" w:rsidRPr="00A1086B">
        <w:rPr>
          <w:rFonts w:ascii="Arial" w:hAnsi="Arial" w:cs="Arial"/>
        </w:rPr>
        <w:t xml:space="preserve">rovision for the money value of the earned leave credits of NTA officials and employees for </w:t>
      </w:r>
      <w:r w:rsidR="00BD7E05" w:rsidRPr="00A1086B">
        <w:rPr>
          <w:rFonts w:ascii="Arial" w:hAnsi="Arial" w:cs="Arial"/>
          <w:color w:val="000000"/>
        </w:rPr>
        <w:t>Calendar</w:t>
      </w:r>
      <w:r w:rsidR="00BD7E05">
        <w:rPr>
          <w:rFonts w:ascii="Arial" w:hAnsi="Arial" w:cs="Arial"/>
        </w:rPr>
        <w:t xml:space="preserve"> Year (</w:t>
      </w:r>
      <w:r w:rsidR="00C87066" w:rsidRPr="00A1086B">
        <w:rPr>
          <w:rFonts w:ascii="Arial" w:hAnsi="Arial" w:cs="Arial"/>
        </w:rPr>
        <w:t>CY</w:t>
      </w:r>
      <w:r w:rsidR="00BD7E05">
        <w:rPr>
          <w:rFonts w:ascii="Arial" w:hAnsi="Arial" w:cs="Arial"/>
        </w:rPr>
        <w:t>)</w:t>
      </w:r>
      <w:r w:rsidR="00C87066" w:rsidRPr="00A1086B">
        <w:rPr>
          <w:rFonts w:ascii="Arial" w:hAnsi="Arial" w:cs="Arial"/>
        </w:rPr>
        <w:t xml:space="preserve"> 2018 and prior years was not recognized in the books as required in</w:t>
      </w:r>
      <w:r w:rsidR="00BD7E05">
        <w:rPr>
          <w:rFonts w:ascii="Arial" w:hAnsi="Arial" w:cs="Arial"/>
        </w:rPr>
        <w:t xml:space="preserve"> PPSAS</w:t>
      </w:r>
      <w:r w:rsidR="00C87066" w:rsidRPr="00A1086B">
        <w:rPr>
          <w:rFonts w:ascii="Arial" w:hAnsi="Arial" w:cs="Arial"/>
        </w:rPr>
        <w:t xml:space="preserve"> 19</w:t>
      </w:r>
      <w:r>
        <w:rPr>
          <w:rFonts w:ascii="Arial" w:hAnsi="Arial" w:cs="Arial"/>
        </w:rPr>
        <w:t>.</w:t>
      </w:r>
      <w:r w:rsidR="00C87066" w:rsidRPr="00A1086B">
        <w:rPr>
          <w:rFonts w:ascii="Arial" w:hAnsi="Arial" w:cs="Arial"/>
        </w:rPr>
        <w:t xml:space="preserve">  </w:t>
      </w:r>
      <w:r>
        <w:rPr>
          <w:rFonts w:ascii="Arial" w:hAnsi="Arial" w:cs="Arial"/>
        </w:rPr>
        <w:t>T</w:t>
      </w:r>
      <w:r w:rsidR="00C87066" w:rsidRPr="00A1086B">
        <w:rPr>
          <w:rFonts w:ascii="Arial" w:hAnsi="Arial" w:cs="Arial"/>
        </w:rPr>
        <w:t xml:space="preserve">hus, the liabilities, accumulated surplus/(deficit) and expenses presented in the financial statements do not faithfully represent the obligation of NTA for </w:t>
      </w:r>
      <w:r>
        <w:rPr>
          <w:rFonts w:ascii="Arial" w:hAnsi="Arial" w:cs="Arial"/>
        </w:rPr>
        <w:t xml:space="preserve">the </w:t>
      </w:r>
      <w:r w:rsidR="00C87066" w:rsidRPr="00A1086B">
        <w:rPr>
          <w:rFonts w:ascii="Arial" w:hAnsi="Arial" w:cs="Arial"/>
        </w:rPr>
        <w:t xml:space="preserve">leave benefits of its officials and employees amounting P126.540 million and P107.518 million as at December 31 of 2018 and 2017, respectively, and the expense incurred in CY 2018 of P19.021 million.  </w:t>
      </w:r>
    </w:p>
    <w:p w:rsidR="0070654F" w:rsidRPr="00831815" w:rsidRDefault="0070654F" w:rsidP="00A1086B">
      <w:pPr>
        <w:pStyle w:val="NoSpacing"/>
        <w:jc w:val="both"/>
      </w:pPr>
    </w:p>
    <w:p w:rsidR="00650CE4" w:rsidRDefault="00650CE4" w:rsidP="00650CE4">
      <w:pPr>
        <w:pStyle w:val="NoSpacing"/>
        <w:jc w:val="both"/>
        <w:rPr>
          <w:rFonts w:ascii="Arial" w:hAnsi="Arial" w:cs="Arial"/>
          <w:color w:val="000000" w:themeColor="text1"/>
        </w:rPr>
      </w:pPr>
      <w:r>
        <w:rPr>
          <w:rFonts w:ascii="Arial" w:hAnsi="Arial" w:cs="Arial"/>
          <w:color w:val="000000" w:themeColor="text1"/>
        </w:rPr>
        <w:lastRenderedPageBreak/>
        <w:t>For the above observations</w:t>
      </w:r>
      <w:r w:rsidR="00535C94">
        <w:rPr>
          <w:rFonts w:ascii="Arial" w:hAnsi="Arial" w:cs="Arial"/>
          <w:color w:val="000000" w:themeColor="text1"/>
        </w:rPr>
        <w:t>,</w:t>
      </w:r>
      <w:r>
        <w:rPr>
          <w:rFonts w:ascii="Arial" w:hAnsi="Arial" w:cs="Arial"/>
          <w:color w:val="000000" w:themeColor="text1"/>
        </w:rPr>
        <w:t xml:space="preserve"> which caused the issuance of a qualified opinion, we recommended that Management</w:t>
      </w:r>
      <w:r w:rsidR="00DE5AA8">
        <w:rPr>
          <w:rFonts w:ascii="Arial" w:hAnsi="Arial" w:cs="Arial"/>
          <w:color w:val="000000" w:themeColor="text1"/>
        </w:rPr>
        <w:t xml:space="preserve"> require the</w:t>
      </w:r>
      <w:r w:rsidR="009A5C20">
        <w:rPr>
          <w:rFonts w:ascii="Arial" w:hAnsi="Arial" w:cs="Arial"/>
          <w:color w:val="000000" w:themeColor="text1"/>
        </w:rPr>
        <w:t>:</w:t>
      </w:r>
      <w:r w:rsidR="0098554D">
        <w:rPr>
          <w:rFonts w:ascii="Arial" w:hAnsi="Arial" w:cs="Arial"/>
          <w:color w:val="000000" w:themeColor="text1"/>
        </w:rPr>
        <w:t xml:space="preserve"> </w:t>
      </w:r>
    </w:p>
    <w:p w:rsidR="00650CE4" w:rsidRPr="00A1086B" w:rsidRDefault="00650CE4" w:rsidP="00650CE4">
      <w:pPr>
        <w:pStyle w:val="NoSpacing"/>
        <w:jc w:val="both"/>
        <w:rPr>
          <w:rFonts w:ascii="Arial" w:hAnsi="Arial" w:cs="Arial"/>
          <w:color w:val="000000" w:themeColor="text1"/>
          <w:sz w:val="20"/>
          <w:szCs w:val="20"/>
        </w:rPr>
      </w:pPr>
    </w:p>
    <w:p w:rsidR="00C87066" w:rsidRPr="00C87066" w:rsidRDefault="00C87066" w:rsidP="00565AD3">
      <w:pPr>
        <w:pStyle w:val="NoSpacing"/>
        <w:numPr>
          <w:ilvl w:val="0"/>
          <w:numId w:val="7"/>
        </w:numPr>
        <w:ind w:left="0" w:firstLine="0"/>
        <w:jc w:val="both"/>
        <w:rPr>
          <w:rFonts w:ascii="Arial" w:hAnsi="Arial" w:cs="Arial"/>
          <w:color w:val="000000" w:themeColor="text1"/>
        </w:rPr>
      </w:pPr>
      <w:r w:rsidRPr="00C87066">
        <w:rPr>
          <w:rFonts w:ascii="Arial" w:hAnsi="Arial" w:cs="Arial"/>
          <w:color w:val="000000" w:themeColor="text1"/>
        </w:rPr>
        <w:t>Head/Branch Offices’ Accountants to:</w:t>
      </w:r>
    </w:p>
    <w:p w:rsidR="00C87066" w:rsidRPr="00A1086B" w:rsidRDefault="00C87066" w:rsidP="00C87066">
      <w:pPr>
        <w:pStyle w:val="NoSpacing"/>
        <w:jc w:val="both"/>
        <w:rPr>
          <w:rFonts w:ascii="Arial" w:hAnsi="Arial" w:cs="Arial"/>
          <w:color w:val="000000" w:themeColor="text1"/>
          <w:sz w:val="20"/>
          <w:szCs w:val="20"/>
        </w:rPr>
      </w:pPr>
    </w:p>
    <w:p w:rsidR="00C87066" w:rsidRDefault="00C87066" w:rsidP="00565AD3">
      <w:pPr>
        <w:pStyle w:val="NoSpacing"/>
        <w:numPr>
          <w:ilvl w:val="0"/>
          <w:numId w:val="8"/>
        </w:numPr>
        <w:ind w:firstLine="0"/>
        <w:jc w:val="both"/>
        <w:rPr>
          <w:rFonts w:ascii="Arial" w:hAnsi="Arial" w:cs="Arial"/>
          <w:color w:val="000000" w:themeColor="text1"/>
        </w:rPr>
      </w:pPr>
      <w:r w:rsidRPr="00C87066">
        <w:rPr>
          <w:rFonts w:ascii="Arial" w:hAnsi="Arial" w:cs="Arial"/>
          <w:color w:val="000000" w:themeColor="text1"/>
        </w:rPr>
        <w:t>Exert utmost efforts to retrieve/recover relevant documents supporting the undocumented balances of P99.</w:t>
      </w:r>
      <w:r w:rsidR="00A65F84">
        <w:rPr>
          <w:rFonts w:ascii="Arial" w:hAnsi="Arial" w:cs="Arial"/>
          <w:color w:val="000000" w:themeColor="text1"/>
        </w:rPr>
        <w:t>051</w:t>
      </w:r>
      <w:r w:rsidRPr="00C87066">
        <w:rPr>
          <w:rFonts w:ascii="Arial" w:hAnsi="Arial" w:cs="Arial"/>
          <w:color w:val="000000" w:themeColor="text1"/>
        </w:rPr>
        <w:t xml:space="preserve"> million carried over from seven defunct tobacco agencies in 1987; </w:t>
      </w:r>
    </w:p>
    <w:p w:rsidR="00C87066" w:rsidRPr="00A1086B" w:rsidRDefault="00C87066" w:rsidP="00A1086B">
      <w:pPr>
        <w:pStyle w:val="NoSpacing"/>
        <w:ind w:left="720"/>
        <w:jc w:val="both"/>
        <w:rPr>
          <w:rFonts w:ascii="Arial" w:hAnsi="Arial" w:cs="Arial"/>
          <w:color w:val="000000" w:themeColor="text1"/>
          <w:sz w:val="20"/>
          <w:szCs w:val="20"/>
        </w:rPr>
      </w:pPr>
    </w:p>
    <w:p w:rsidR="00C87066" w:rsidRDefault="00C87066" w:rsidP="00565AD3">
      <w:pPr>
        <w:pStyle w:val="NoSpacing"/>
        <w:numPr>
          <w:ilvl w:val="0"/>
          <w:numId w:val="8"/>
        </w:numPr>
        <w:ind w:firstLine="0"/>
        <w:jc w:val="both"/>
        <w:rPr>
          <w:rFonts w:ascii="Arial" w:hAnsi="Arial" w:cs="Arial"/>
          <w:color w:val="000000" w:themeColor="text1"/>
        </w:rPr>
      </w:pPr>
      <w:r w:rsidRPr="00C87066">
        <w:rPr>
          <w:rFonts w:ascii="Arial" w:hAnsi="Arial" w:cs="Arial"/>
          <w:color w:val="000000" w:themeColor="text1"/>
        </w:rPr>
        <w:t>Verify the payments made by the tobacco traders and prepare the necessary adjustment of Notes Receivable for the unrecorded amounts; and</w:t>
      </w:r>
    </w:p>
    <w:p w:rsidR="00C87066" w:rsidRPr="00A1086B" w:rsidRDefault="00C87066" w:rsidP="00A1086B">
      <w:pPr>
        <w:pStyle w:val="NoSpacing"/>
        <w:ind w:left="720"/>
        <w:jc w:val="both"/>
        <w:rPr>
          <w:rFonts w:ascii="Arial" w:hAnsi="Arial" w:cs="Arial"/>
          <w:color w:val="000000" w:themeColor="text1"/>
          <w:sz w:val="20"/>
          <w:szCs w:val="20"/>
        </w:rPr>
      </w:pPr>
    </w:p>
    <w:p w:rsidR="00C87066" w:rsidRPr="00C87066" w:rsidRDefault="00C87066" w:rsidP="00565AD3">
      <w:pPr>
        <w:pStyle w:val="NoSpacing"/>
        <w:numPr>
          <w:ilvl w:val="0"/>
          <w:numId w:val="8"/>
        </w:numPr>
        <w:ind w:firstLine="0"/>
        <w:jc w:val="both"/>
        <w:rPr>
          <w:rFonts w:ascii="Arial" w:hAnsi="Arial" w:cs="Arial"/>
          <w:color w:val="000000" w:themeColor="text1"/>
        </w:rPr>
      </w:pPr>
      <w:r w:rsidRPr="00C87066">
        <w:rPr>
          <w:rFonts w:ascii="Arial" w:hAnsi="Arial" w:cs="Arial"/>
          <w:color w:val="000000" w:themeColor="text1"/>
        </w:rPr>
        <w:t>Recompute and adjust the Allowance for impairment losses to fairly present the Receivables and Other assets accounts in the financial statements and to comply with the NTA policy on impairment losses.</w:t>
      </w:r>
    </w:p>
    <w:p w:rsidR="00C87066" w:rsidRPr="00A1086B" w:rsidRDefault="00C87066" w:rsidP="00C87066">
      <w:pPr>
        <w:pStyle w:val="NoSpacing"/>
        <w:jc w:val="both"/>
        <w:rPr>
          <w:rFonts w:ascii="Arial" w:hAnsi="Arial" w:cs="Arial"/>
          <w:color w:val="000000" w:themeColor="text1"/>
          <w:sz w:val="20"/>
          <w:szCs w:val="20"/>
        </w:rPr>
      </w:pPr>
    </w:p>
    <w:p w:rsidR="00C87066" w:rsidRPr="00C87066" w:rsidRDefault="00C87066" w:rsidP="00565AD3">
      <w:pPr>
        <w:pStyle w:val="NoSpacing"/>
        <w:numPr>
          <w:ilvl w:val="0"/>
          <w:numId w:val="7"/>
        </w:numPr>
        <w:ind w:left="0" w:firstLine="0"/>
        <w:jc w:val="both"/>
        <w:rPr>
          <w:rFonts w:ascii="Arial" w:hAnsi="Arial" w:cs="Arial"/>
          <w:color w:val="000000" w:themeColor="text1"/>
        </w:rPr>
      </w:pPr>
      <w:r w:rsidRPr="00C87066">
        <w:rPr>
          <w:rFonts w:ascii="Arial" w:hAnsi="Arial" w:cs="Arial"/>
          <w:color w:val="000000" w:themeColor="text1"/>
        </w:rPr>
        <w:t>Legal Officer to:</w:t>
      </w:r>
    </w:p>
    <w:p w:rsidR="00C87066" w:rsidRPr="00A1086B" w:rsidRDefault="00C87066" w:rsidP="00C87066">
      <w:pPr>
        <w:pStyle w:val="NoSpacing"/>
        <w:jc w:val="both"/>
        <w:rPr>
          <w:rFonts w:ascii="Arial" w:hAnsi="Arial" w:cs="Arial"/>
          <w:color w:val="000000" w:themeColor="text1"/>
          <w:sz w:val="20"/>
          <w:szCs w:val="20"/>
        </w:rPr>
      </w:pPr>
    </w:p>
    <w:p w:rsidR="00C87066" w:rsidRDefault="00C87066" w:rsidP="00565AD3">
      <w:pPr>
        <w:pStyle w:val="NoSpacing"/>
        <w:numPr>
          <w:ilvl w:val="0"/>
          <w:numId w:val="9"/>
        </w:numPr>
        <w:ind w:firstLine="0"/>
        <w:jc w:val="both"/>
        <w:rPr>
          <w:rFonts w:ascii="Arial" w:hAnsi="Arial" w:cs="Arial"/>
          <w:color w:val="000000" w:themeColor="text1"/>
        </w:rPr>
      </w:pPr>
      <w:r w:rsidRPr="00C87066">
        <w:rPr>
          <w:rFonts w:ascii="Arial" w:hAnsi="Arial" w:cs="Arial"/>
          <w:color w:val="000000" w:themeColor="text1"/>
        </w:rPr>
        <w:t>Complete the documents of the Investment in Bonds amounting to P28.634 million including the efforts exerted to recover the proceeds of the bonds; and</w:t>
      </w:r>
    </w:p>
    <w:p w:rsidR="00C87066" w:rsidRPr="00A1086B" w:rsidRDefault="00C87066" w:rsidP="00A1086B">
      <w:pPr>
        <w:pStyle w:val="NoSpacing"/>
        <w:ind w:left="720"/>
        <w:jc w:val="both"/>
        <w:rPr>
          <w:rFonts w:ascii="Arial" w:hAnsi="Arial" w:cs="Arial"/>
          <w:color w:val="000000" w:themeColor="text1"/>
          <w:sz w:val="20"/>
          <w:szCs w:val="20"/>
        </w:rPr>
      </w:pPr>
    </w:p>
    <w:p w:rsidR="00C87066" w:rsidRPr="00C87066" w:rsidRDefault="00C87066" w:rsidP="00565AD3">
      <w:pPr>
        <w:pStyle w:val="NoSpacing"/>
        <w:numPr>
          <w:ilvl w:val="0"/>
          <w:numId w:val="9"/>
        </w:numPr>
        <w:ind w:firstLine="0"/>
        <w:jc w:val="both"/>
        <w:rPr>
          <w:rFonts w:ascii="Arial" w:hAnsi="Arial" w:cs="Arial"/>
          <w:color w:val="000000" w:themeColor="text1"/>
        </w:rPr>
      </w:pPr>
      <w:r w:rsidRPr="00C87066">
        <w:rPr>
          <w:rFonts w:ascii="Arial" w:hAnsi="Arial" w:cs="Arial"/>
          <w:color w:val="000000" w:themeColor="text1"/>
        </w:rPr>
        <w:t xml:space="preserve">Exert all legal remedies for the rescission of the Certificates of Award and for the reconveyance of the pertinent lots located in Tuguegarao, Cagayan to the government pursuant to Resolution No. 258-2012 dated April 12, 2012 of the </w:t>
      </w:r>
      <w:r w:rsidR="006114A8">
        <w:rPr>
          <w:rFonts w:ascii="Arial" w:hAnsi="Arial" w:cs="Arial"/>
          <w:color w:val="000000" w:themeColor="text1"/>
        </w:rPr>
        <w:t xml:space="preserve">                       </w:t>
      </w:r>
      <w:r w:rsidRPr="00C87066">
        <w:rPr>
          <w:rFonts w:ascii="Arial" w:hAnsi="Arial" w:cs="Arial"/>
          <w:color w:val="000000" w:themeColor="text1"/>
        </w:rPr>
        <w:t xml:space="preserve">NTA </w:t>
      </w:r>
      <w:r w:rsidR="00BD7E05">
        <w:rPr>
          <w:rFonts w:ascii="Arial" w:hAnsi="Arial" w:cs="Arial"/>
          <w:color w:val="000000" w:themeColor="text1"/>
        </w:rPr>
        <w:t>Board of Directors</w:t>
      </w:r>
      <w:r w:rsidR="001333A9">
        <w:rPr>
          <w:rFonts w:ascii="Arial" w:hAnsi="Arial" w:cs="Arial"/>
          <w:color w:val="000000" w:themeColor="text1"/>
        </w:rPr>
        <w:t xml:space="preserve"> (BOD)</w:t>
      </w:r>
      <w:r w:rsidRPr="00C87066">
        <w:rPr>
          <w:rFonts w:ascii="Arial" w:hAnsi="Arial" w:cs="Arial"/>
          <w:color w:val="000000" w:themeColor="text1"/>
        </w:rPr>
        <w:t>, if the awardees and/or the occupants/possessors/</w:t>
      </w:r>
      <w:r w:rsidR="006114A8">
        <w:rPr>
          <w:rFonts w:ascii="Arial" w:hAnsi="Arial" w:cs="Arial"/>
          <w:color w:val="000000" w:themeColor="text1"/>
        </w:rPr>
        <w:t xml:space="preserve"> </w:t>
      </w:r>
      <w:r w:rsidRPr="00C87066">
        <w:rPr>
          <w:rFonts w:ascii="Arial" w:hAnsi="Arial" w:cs="Arial"/>
          <w:color w:val="000000" w:themeColor="text1"/>
        </w:rPr>
        <w:t>successors of the 24 unpaid lots included in Other Receivable do not agree to settle in full the cost with increments;</w:t>
      </w:r>
    </w:p>
    <w:p w:rsidR="00C87066" w:rsidRPr="00A1086B" w:rsidRDefault="00C87066" w:rsidP="00C87066">
      <w:pPr>
        <w:pStyle w:val="NoSpacing"/>
        <w:jc w:val="both"/>
        <w:rPr>
          <w:rFonts w:ascii="Arial" w:hAnsi="Arial" w:cs="Arial"/>
          <w:color w:val="000000" w:themeColor="text1"/>
          <w:sz w:val="20"/>
          <w:szCs w:val="20"/>
        </w:rPr>
      </w:pPr>
    </w:p>
    <w:p w:rsidR="00C87066" w:rsidRPr="00C87066" w:rsidRDefault="00C87066" w:rsidP="00565AD3">
      <w:pPr>
        <w:pStyle w:val="NoSpacing"/>
        <w:numPr>
          <w:ilvl w:val="0"/>
          <w:numId w:val="7"/>
        </w:numPr>
        <w:ind w:left="0" w:firstLine="0"/>
        <w:jc w:val="both"/>
        <w:rPr>
          <w:rFonts w:ascii="Arial" w:hAnsi="Arial" w:cs="Arial"/>
          <w:color w:val="000000" w:themeColor="text1"/>
        </w:rPr>
      </w:pPr>
      <w:r w:rsidRPr="00C87066">
        <w:rPr>
          <w:rFonts w:ascii="Arial" w:hAnsi="Arial" w:cs="Arial"/>
          <w:color w:val="000000" w:themeColor="text1"/>
        </w:rPr>
        <w:t>Concerned Branch Managers to make representations with the D</w:t>
      </w:r>
      <w:r w:rsidR="00535C94">
        <w:rPr>
          <w:rFonts w:ascii="Arial" w:hAnsi="Arial" w:cs="Arial"/>
          <w:color w:val="000000" w:themeColor="text1"/>
        </w:rPr>
        <w:t xml:space="preserve">epartment of </w:t>
      </w:r>
      <w:r w:rsidRPr="00C87066">
        <w:rPr>
          <w:rFonts w:ascii="Arial" w:hAnsi="Arial" w:cs="Arial"/>
          <w:color w:val="000000" w:themeColor="text1"/>
        </w:rPr>
        <w:t>E</w:t>
      </w:r>
      <w:r w:rsidR="00535C94">
        <w:rPr>
          <w:rFonts w:ascii="Arial" w:hAnsi="Arial" w:cs="Arial"/>
          <w:color w:val="000000" w:themeColor="text1"/>
        </w:rPr>
        <w:t xml:space="preserve">nvironment and </w:t>
      </w:r>
      <w:r w:rsidRPr="00C87066">
        <w:rPr>
          <w:rFonts w:ascii="Arial" w:hAnsi="Arial" w:cs="Arial"/>
          <w:color w:val="000000" w:themeColor="text1"/>
        </w:rPr>
        <w:t>N</w:t>
      </w:r>
      <w:r w:rsidR="00535C94">
        <w:rPr>
          <w:rFonts w:ascii="Arial" w:hAnsi="Arial" w:cs="Arial"/>
          <w:color w:val="000000" w:themeColor="text1"/>
        </w:rPr>
        <w:t xml:space="preserve">atural </w:t>
      </w:r>
      <w:r w:rsidRPr="00C87066">
        <w:rPr>
          <w:rFonts w:ascii="Arial" w:hAnsi="Arial" w:cs="Arial"/>
          <w:color w:val="000000" w:themeColor="text1"/>
        </w:rPr>
        <w:t>R</w:t>
      </w:r>
      <w:r w:rsidR="00535C94">
        <w:rPr>
          <w:rFonts w:ascii="Arial" w:hAnsi="Arial" w:cs="Arial"/>
          <w:color w:val="000000" w:themeColor="text1"/>
        </w:rPr>
        <w:t>esources</w:t>
      </w:r>
      <w:r w:rsidRPr="00C87066">
        <w:rPr>
          <w:rFonts w:ascii="Arial" w:hAnsi="Arial" w:cs="Arial"/>
          <w:color w:val="000000" w:themeColor="text1"/>
        </w:rPr>
        <w:t xml:space="preserve"> for the possible transfer of the reforestation project sites to the local government units and its derecognition from the books of NTA; and</w:t>
      </w:r>
    </w:p>
    <w:p w:rsidR="00C87066" w:rsidRPr="00A1086B" w:rsidRDefault="00C87066" w:rsidP="00C87066">
      <w:pPr>
        <w:pStyle w:val="NoSpacing"/>
        <w:jc w:val="both"/>
        <w:rPr>
          <w:rFonts w:ascii="Arial" w:hAnsi="Arial" w:cs="Arial"/>
          <w:color w:val="000000" w:themeColor="text1"/>
          <w:sz w:val="20"/>
          <w:szCs w:val="20"/>
        </w:rPr>
      </w:pPr>
    </w:p>
    <w:p w:rsidR="00C87066" w:rsidRPr="00C87066" w:rsidRDefault="00C87066" w:rsidP="00565AD3">
      <w:pPr>
        <w:pStyle w:val="NoSpacing"/>
        <w:numPr>
          <w:ilvl w:val="0"/>
          <w:numId w:val="7"/>
        </w:numPr>
        <w:ind w:left="0" w:firstLine="0"/>
        <w:jc w:val="both"/>
        <w:rPr>
          <w:rFonts w:ascii="Arial" w:hAnsi="Arial" w:cs="Arial"/>
          <w:color w:val="000000" w:themeColor="text1"/>
        </w:rPr>
      </w:pPr>
      <w:r w:rsidRPr="00C87066">
        <w:rPr>
          <w:rFonts w:ascii="Arial" w:hAnsi="Arial" w:cs="Arial"/>
          <w:color w:val="000000" w:themeColor="text1"/>
        </w:rPr>
        <w:t>The responsible NTA officials to document all the efforts to collect and settle the dormant accounts to support the request for authority to write off the accounts to COA for those that are still not recovered after exhausting all possible remedies in accordance with COA Circular No. 2016-005.</w:t>
      </w:r>
    </w:p>
    <w:p w:rsidR="005B4B85" w:rsidRPr="00A1086B" w:rsidRDefault="005B4B85" w:rsidP="00962E8D">
      <w:pPr>
        <w:pStyle w:val="NoSpacing"/>
        <w:tabs>
          <w:tab w:val="left" w:pos="709"/>
        </w:tabs>
        <w:jc w:val="both"/>
        <w:rPr>
          <w:rFonts w:ascii="Arial" w:hAnsi="Arial" w:cs="Arial"/>
          <w:color w:val="000000" w:themeColor="text1"/>
          <w:sz w:val="20"/>
          <w:szCs w:val="20"/>
        </w:rPr>
      </w:pPr>
    </w:p>
    <w:p w:rsidR="00AF267F" w:rsidRDefault="0098554D" w:rsidP="00565AD3">
      <w:pPr>
        <w:pStyle w:val="NoSpacing"/>
        <w:numPr>
          <w:ilvl w:val="0"/>
          <w:numId w:val="1"/>
        </w:numPr>
        <w:tabs>
          <w:tab w:val="left" w:pos="709"/>
        </w:tabs>
        <w:ind w:left="0" w:firstLine="0"/>
        <w:jc w:val="both"/>
        <w:rPr>
          <w:rFonts w:ascii="Arial" w:eastAsia="Calibri" w:hAnsi="Arial" w:cs="Arial"/>
          <w:color w:val="000000" w:themeColor="text1"/>
          <w:lang w:val="en-US"/>
        </w:rPr>
      </w:pPr>
      <w:r w:rsidRPr="00DE5AA8">
        <w:rPr>
          <w:rFonts w:ascii="Arial" w:eastAsia="Calibri" w:hAnsi="Arial" w:cs="Arial"/>
          <w:color w:val="000000" w:themeColor="text1"/>
          <w:lang w:val="en-US"/>
        </w:rPr>
        <w:t>Inventory Committee to</w:t>
      </w:r>
      <w:r w:rsidR="00AF267F" w:rsidRPr="00DE5AA8">
        <w:rPr>
          <w:rFonts w:ascii="Arial" w:eastAsia="Calibri" w:hAnsi="Arial" w:cs="Arial"/>
          <w:color w:val="000000" w:themeColor="text1"/>
          <w:lang w:val="en-US"/>
        </w:rPr>
        <w:t>:</w:t>
      </w:r>
    </w:p>
    <w:p w:rsidR="00DE5AA8" w:rsidRPr="00A1086B" w:rsidRDefault="00DE5AA8" w:rsidP="00A1086B">
      <w:pPr>
        <w:pStyle w:val="NoSpacing"/>
        <w:tabs>
          <w:tab w:val="left" w:pos="709"/>
        </w:tabs>
        <w:ind w:left="720"/>
        <w:jc w:val="both"/>
        <w:rPr>
          <w:rFonts w:ascii="Arial" w:eastAsia="Calibri" w:hAnsi="Arial" w:cs="Arial"/>
          <w:color w:val="000000" w:themeColor="text1"/>
          <w:sz w:val="20"/>
          <w:szCs w:val="20"/>
          <w:lang w:val="en-US"/>
        </w:rPr>
      </w:pPr>
    </w:p>
    <w:p w:rsidR="0098554D" w:rsidRDefault="00AF267F" w:rsidP="00565AD3">
      <w:pPr>
        <w:pStyle w:val="NoSpacing"/>
        <w:numPr>
          <w:ilvl w:val="0"/>
          <w:numId w:val="2"/>
        </w:numPr>
        <w:tabs>
          <w:tab w:val="left" w:pos="709"/>
          <w:tab w:val="left" w:pos="1134"/>
        </w:tabs>
        <w:ind w:left="709" w:firstLine="0"/>
        <w:jc w:val="both"/>
        <w:rPr>
          <w:rFonts w:ascii="Arial" w:eastAsia="Calibri" w:hAnsi="Arial" w:cs="Arial"/>
          <w:color w:val="000000" w:themeColor="text1"/>
          <w:lang w:val="en-US"/>
        </w:rPr>
      </w:pPr>
      <w:r>
        <w:rPr>
          <w:rFonts w:ascii="Arial" w:eastAsia="Calibri" w:hAnsi="Arial" w:cs="Arial"/>
          <w:color w:val="000000" w:themeColor="text1"/>
          <w:lang w:val="en-US"/>
        </w:rPr>
        <w:t>C</w:t>
      </w:r>
      <w:r w:rsidR="0098554D" w:rsidRPr="0098554D">
        <w:rPr>
          <w:rFonts w:ascii="Arial" w:eastAsia="Calibri" w:hAnsi="Arial" w:cs="Arial"/>
          <w:color w:val="000000" w:themeColor="text1"/>
          <w:lang w:val="en-US"/>
        </w:rPr>
        <w:t>onduct physical inventory of all immovable properties recorded in the books of NTA including the properties located in C</w:t>
      </w:r>
      <w:r w:rsidR="00775BF0">
        <w:rPr>
          <w:rFonts w:ascii="Arial" w:eastAsia="Calibri" w:hAnsi="Arial" w:cs="Arial"/>
          <w:color w:val="000000" w:themeColor="text1"/>
          <w:lang w:val="en-US"/>
        </w:rPr>
        <w:t xml:space="preserve">ordillera Administrative </w:t>
      </w:r>
      <w:r w:rsidR="0098554D" w:rsidRPr="0098554D">
        <w:rPr>
          <w:rFonts w:ascii="Arial" w:eastAsia="Calibri" w:hAnsi="Arial" w:cs="Arial"/>
          <w:color w:val="000000" w:themeColor="text1"/>
          <w:lang w:val="en-US"/>
        </w:rPr>
        <w:t>R</w:t>
      </w:r>
      <w:r w:rsidR="00775BF0">
        <w:rPr>
          <w:rFonts w:ascii="Arial" w:eastAsia="Calibri" w:hAnsi="Arial" w:cs="Arial"/>
          <w:color w:val="000000" w:themeColor="text1"/>
          <w:lang w:val="en-US"/>
        </w:rPr>
        <w:t>egion</w:t>
      </w:r>
      <w:r w:rsidR="0098554D" w:rsidRPr="0098554D">
        <w:rPr>
          <w:rFonts w:ascii="Arial" w:eastAsia="Calibri" w:hAnsi="Arial" w:cs="Arial"/>
          <w:color w:val="000000" w:themeColor="text1"/>
          <w:lang w:val="en-US"/>
        </w:rPr>
        <w:t xml:space="preserve">, Regions I and II that are included in their property listing and to check their existence and conditions, and prepare the </w:t>
      </w:r>
      <w:r w:rsidR="0095073C">
        <w:rPr>
          <w:rFonts w:ascii="Arial" w:eastAsia="Calibri" w:hAnsi="Arial" w:cs="Arial"/>
          <w:color w:val="000000" w:themeColor="text1"/>
          <w:lang w:val="en-US"/>
        </w:rPr>
        <w:t>Report on the Physical Count of PPE (</w:t>
      </w:r>
      <w:r w:rsidR="0098554D" w:rsidRPr="0098554D">
        <w:rPr>
          <w:rFonts w:ascii="Arial" w:eastAsia="Calibri" w:hAnsi="Arial" w:cs="Arial"/>
          <w:color w:val="000000" w:themeColor="text1"/>
          <w:lang w:val="en-US"/>
        </w:rPr>
        <w:t>RPCPPE</w:t>
      </w:r>
      <w:r w:rsidR="0095073C">
        <w:rPr>
          <w:rFonts w:ascii="Arial" w:eastAsia="Calibri" w:hAnsi="Arial" w:cs="Arial"/>
          <w:color w:val="000000" w:themeColor="text1"/>
          <w:lang w:val="en-US"/>
        </w:rPr>
        <w:t>)</w:t>
      </w:r>
      <w:r w:rsidR="0098554D" w:rsidRPr="0098554D">
        <w:rPr>
          <w:rFonts w:ascii="Arial" w:eastAsia="Calibri" w:hAnsi="Arial" w:cs="Arial"/>
          <w:color w:val="000000" w:themeColor="text1"/>
          <w:lang w:val="en-US"/>
        </w:rPr>
        <w:t>;</w:t>
      </w:r>
    </w:p>
    <w:p w:rsidR="00AF267F" w:rsidRPr="00A1086B" w:rsidRDefault="00AF267F" w:rsidP="00A1086B">
      <w:pPr>
        <w:pStyle w:val="NoSpacing"/>
        <w:tabs>
          <w:tab w:val="left" w:pos="709"/>
          <w:tab w:val="left" w:pos="1134"/>
        </w:tabs>
        <w:ind w:left="709"/>
        <w:jc w:val="both"/>
        <w:rPr>
          <w:rFonts w:ascii="Arial" w:eastAsia="Calibri" w:hAnsi="Arial" w:cs="Arial"/>
          <w:color w:val="000000" w:themeColor="text1"/>
          <w:sz w:val="20"/>
          <w:szCs w:val="20"/>
          <w:lang w:val="en-US"/>
        </w:rPr>
      </w:pPr>
    </w:p>
    <w:p w:rsidR="00AF267F" w:rsidRPr="00A1086B" w:rsidRDefault="00AF267F" w:rsidP="00565AD3">
      <w:pPr>
        <w:pStyle w:val="NoSpacing"/>
        <w:numPr>
          <w:ilvl w:val="0"/>
          <w:numId w:val="2"/>
        </w:numPr>
        <w:tabs>
          <w:tab w:val="left" w:pos="709"/>
          <w:tab w:val="left" w:pos="1134"/>
        </w:tabs>
        <w:ind w:left="709" w:firstLine="0"/>
        <w:jc w:val="both"/>
        <w:rPr>
          <w:rFonts w:ascii="Arial" w:eastAsia="Calibri" w:hAnsi="Arial" w:cs="Arial"/>
          <w:color w:val="000000" w:themeColor="text1"/>
          <w:lang w:val="en-US"/>
        </w:rPr>
      </w:pPr>
      <w:r w:rsidRPr="00A1086B">
        <w:rPr>
          <w:rFonts w:ascii="Arial" w:hAnsi="Arial" w:cs="Arial"/>
          <w:bCs/>
          <w:color w:val="000000" w:themeColor="text1"/>
        </w:rPr>
        <w:t>Use the proper form to list the assets during the physical count and include the acquisition cost and a brief description of the items accounted for complete documentation</w:t>
      </w:r>
      <w:r>
        <w:rPr>
          <w:rFonts w:ascii="Arial" w:hAnsi="Arial" w:cs="Arial"/>
          <w:bCs/>
          <w:color w:val="000000" w:themeColor="text1"/>
        </w:rPr>
        <w:t>;</w:t>
      </w:r>
    </w:p>
    <w:p w:rsidR="00AF267F" w:rsidRPr="00A1086B" w:rsidRDefault="00AF267F" w:rsidP="00A1086B">
      <w:pPr>
        <w:pStyle w:val="NoSpacing"/>
        <w:tabs>
          <w:tab w:val="left" w:pos="709"/>
          <w:tab w:val="left" w:pos="1134"/>
        </w:tabs>
        <w:ind w:left="709"/>
        <w:jc w:val="both"/>
        <w:rPr>
          <w:rFonts w:ascii="Arial" w:eastAsia="Calibri" w:hAnsi="Arial" w:cs="Arial"/>
          <w:color w:val="000000" w:themeColor="text1"/>
          <w:sz w:val="20"/>
          <w:szCs w:val="20"/>
          <w:lang w:val="en-US"/>
        </w:rPr>
      </w:pPr>
    </w:p>
    <w:p w:rsidR="00AF267F" w:rsidRPr="00A1086B" w:rsidRDefault="00AF267F" w:rsidP="00565AD3">
      <w:pPr>
        <w:pStyle w:val="NoSpacing"/>
        <w:numPr>
          <w:ilvl w:val="0"/>
          <w:numId w:val="2"/>
        </w:numPr>
        <w:tabs>
          <w:tab w:val="left" w:pos="709"/>
          <w:tab w:val="left" w:pos="1134"/>
        </w:tabs>
        <w:ind w:left="709" w:firstLine="0"/>
        <w:jc w:val="both"/>
        <w:rPr>
          <w:rFonts w:ascii="Arial" w:eastAsia="Calibri" w:hAnsi="Arial" w:cs="Arial"/>
          <w:color w:val="000000" w:themeColor="text1"/>
          <w:lang w:val="en-US"/>
        </w:rPr>
      </w:pPr>
      <w:r w:rsidRPr="00A1086B">
        <w:rPr>
          <w:rFonts w:ascii="Arial" w:hAnsi="Arial" w:cs="Arial"/>
          <w:color w:val="000000" w:themeColor="text1"/>
        </w:rPr>
        <w:t>Provide or replace the property tag stickers with pre-numbered inventory tags for all properties to be posted on a prominent but secured portion of the property</w:t>
      </w:r>
      <w:r>
        <w:rPr>
          <w:rFonts w:ascii="Arial" w:hAnsi="Arial" w:cs="Arial"/>
          <w:color w:val="000000" w:themeColor="text1"/>
        </w:rPr>
        <w:t>;</w:t>
      </w:r>
    </w:p>
    <w:p w:rsidR="00AF267F" w:rsidRPr="00A1086B" w:rsidRDefault="00AF267F" w:rsidP="00A1086B">
      <w:pPr>
        <w:pStyle w:val="NoSpacing"/>
        <w:tabs>
          <w:tab w:val="left" w:pos="709"/>
        </w:tabs>
        <w:ind w:left="851"/>
        <w:jc w:val="both"/>
        <w:rPr>
          <w:rFonts w:ascii="Arial" w:eastAsia="Calibri" w:hAnsi="Arial" w:cs="Arial"/>
          <w:color w:val="000000" w:themeColor="text1"/>
          <w:sz w:val="20"/>
          <w:szCs w:val="20"/>
          <w:lang w:val="en-US"/>
        </w:rPr>
      </w:pPr>
    </w:p>
    <w:p w:rsidR="00AF267F" w:rsidRPr="00A1086B" w:rsidRDefault="00AF267F" w:rsidP="00565AD3">
      <w:pPr>
        <w:pStyle w:val="NoSpacing"/>
        <w:numPr>
          <w:ilvl w:val="0"/>
          <w:numId w:val="2"/>
        </w:numPr>
        <w:tabs>
          <w:tab w:val="left" w:pos="709"/>
          <w:tab w:val="left" w:pos="1134"/>
        </w:tabs>
        <w:ind w:left="709" w:firstLine="0"/>
        <w:jc w:val="both"/>
        <w:rPr>
          <w:rFonts w:ascii="Arial" w:eastAsia="Calibri" w:hAnsi="Arial" w:cs="Arial"/>
          <w:color w:val="000000" w:themeColor="text1"/>
          <w:lang w:val="en-US"/>
        </w:rPr>
      </w:pPr>
      <w:r w:rsidRPr="00A1086B">
        <w:rPr>
          <w:rFonts w:ascii="Arial" w:hAnsi="Arial" w:cs="Arial"/>
          <w:bCs/>
          <w:color w:val="000000" w:themeColor="text1"/>
        </w:rPr>
        <w:t xml:space="preserve">Renew the </w:t>
      </w:r>
      <w:r w:rsidR="0095073C">
        <w:rPr>
          <w:rFonts w:ascii="Arial" w:hAnsi="Arial" w:cs="Arial"/>
          <w:bCs/>
          <w:color w:val="000000" w:themeColor="text1"/>
        </w:rPr>
        <w:t xml:space="preserve">Property Acknowledgement Receipts </w:t>
      </w:r>
      <w:r w:rsidRPr="00A1086B">
        <w:rPr>
          <w:rFonts w:ascii="Arial" w:hAnsi="Arial" w:cs="Arial"/>
          <w:bCs/>
          <w:color w:val="000000" w:themeColor="text1"/>
        </w:rPr>
        <w:t>every three years or every time there is a change in property accountability or custodianship</w:t>
      </w:r>
      <w:r>
        <w:rPr>
          <w:rFonts w:ascii="Arial" w:hAnsi="Arial" w:cs="Arial"/>
          <w:bCs/>
          <w:color w:val="000000" w:themeColor="text1"/>
        </w:rPr>
        <w:t>; and</w:t>
      </w:r>
    </w:p>
    <w:p w:rsidR="00AF267F" w:rsidRPr="00A1086B" w:rsidRDefault="00AF267F" w:rsidP="00A1086B">
      <w:pPr>
        <w:pStyle w:val="NoSpacing"/>
        <w:tabs>
          <w:tab w:val="left" w:pos="709"/>
          <w:tab w:val="left" w:pos="1134"/>
        </w:tabs>
        <w:ind w:left="709"/>
        <w:jc w:val="both"/>
        <w:rPr>
          <w:rFonts w:ascii="Arial" w:eastAsia="Calibri" w:hAnsi="Arial" w:cs="Arial"/>
          <w:color w:val="000000" w:themeColor="text1"/>
          <w:sz w:val="20"/>
          <w:szCs w:val="20"/>
          <w:lang w:val="en-US"/>
        </w:rPr>
      </w:pPr>
    </w:p>
    <w:p w:rsidR="00AF267F" w:rsidRPr="00AF267F" w:rsidRDefault="00AF267F" w:rsidP="00565AD3">
      <w:pPr>
        <w:pStyle w:val="NoSpacing"/>
        <w:numPr>
          <w:ilvl w:val="0"/>
          <w:numId w:val="2"/>
        </w:numPr>
        <w:tabs>
          <w:tab w:val="left" w:pos="709"/>
          <w:tab w:val="left" w:pos="1134"/>
        </w:tabs>
        <w:ind w:left="709" w:firstLine="0"/>
        <w:jc w:val="both"/>
        <w:rPr>
          <w:rFonts w:ascii="Arial" w:eastAsia="Calibri" w:hAnsi="Arial" w:cs="Arial"/>
          <w:color w:val="000000" w:themeColor="text1"/>
          <w:lang w:val="en-US"/>
        </w:rPr>
      </w:pPr>
      <w:r w:rsidRPr="00A1086B">
        <w:rPr>
          <w:rFonts w:ascii="Arial" w:hAnsi="Arial" w:cs="Arial"/>
          <w:bCs/>
          <w:color w:val="000000" w:themeColor="text1"/>
        </w:rPr>
        <w:t xml:space="preserve">Submit the complete RPCPPE on time and use the prescribed form (Appendix 73) as required under Section 42 of </w:t>
      </w:r>
      <w:r w:rsidR="0095073C">
        <w:rPr>
          <w:rFonts w:ascii="Arial" w:hAnsi="Arial" w:cs="Arial"/>
          <w:bCs/>
          <w:color w:val="000000" w:themeColor="text1"/>
        </w:rPr>
        <w:t>Government Accounting Manual</w:t>
      </w:r>
      <w:r w:rsidRPr="00A1086B">
        <w:rPr>
          <w:rFonts w:ascii="Arial" w:hAnsi="Arial" w:cs="Arial"/>
          <w:bCs/>
          <w:color w:val="000000" w:themeColor="text1"/>
        </w:rPr>
        <w:t xml:space="preserve"> for </w:t>
      </w:r>
      <w:r w:rsidR="0095073C">
        <w:rPr>
          <w:rFonts w:ascii="Arial" w:hAnsi="Arial" w:cs="Arial"/>
          <w:bCs/>
          <w:color w:val="000000" w:themeColor="text1"/>
        </w:rPr>
        <w:t>National Government Agencies</w:t>
      </w:r>
      <w:r w:rsidR="00C87066">
        <w:rPr>
          <w:rFonts w:ascii="Arial" w:hAnsi="Arial" w:cs="Arial"/>
          <w:bCs/>
          <w:color w:val="000000" w:themeColor="text1"/>
        </w:rPr>
        <w:t>.</w:t>
      </w:r>
    </w:p>
    <w:p w:rsidR="00317924" w:rsidRPr="00A1086B" w:rsidRDefault="00317924" w:rsidP="00A1086B">
      <w:pPr>
        <w:pStyle w:val="NoSpacing"/>
        <w:tabs>
          <w:tab w:val="left" w:pos="709"/>
          <w:tab w:val="left" w:pos="1276"/>
        </w:tabs>
        <w:ind w:left="720"/>
        <w:jc w:val="both"/>
        <w:rPr>
          <w:rFonts w:ascii="Arial" w:eastAsia="Calibri" w:hAnsi="Arial" w:cs="Arial"/>
          <w:color w:val="000000" w:themeColor="text1"/>
          <w:sz w:val="20"/>
          <w:szCs w:val="20"/>
          <w:lang w:val="en-US"/>
        </w:rPr>
      </w:pPr>
    </w:p>
    <w:p w:rsidR="00590A8D" w:rsidRDefault="0098554D" w:rsidP="00565AD3">
      <w:pPr>
        <w:pStyle w:val="NoSpacing"/>
        <w:numPr>
          <w:ilvl w:val="0"/>
          <w:numId w:val="1"/>
        </w:numPr>
        <w:tabs>
          <w:tab w:val="left" w:pos="709"/>
        </w:tabs>
        <w:ind w:left="0" w:firstLine="0"/>
        <w:jc w:val="both"/>
        <w:rPr>
          <w:rFonts w:ascii="Arial" w:eastAsia="Calibri" w:hAnsi="Arial" w:cs="Arial"/>
          <w:color w:val="000000" w:themeColor="text1"/>
          <w:lang w:val="en-US"/>
        </w:rPr>
      </w:pPr>
      <w:r w:rsidRPr="0098554D">
        <w:rPr>
          <w:rFonts w:ascii="Arial" w:eastAsia="Calibri" w:hAnsi="Arial" w:cs="Arial"/>
          <w:color w:val="000000" w:themeColor="text1"/>
          <w:lang w:val="en-US"/>
        </w:rPr>
        <w:t>Property</w:t>
      </w:r>
      <w:r w:rsidR="00590A8D">
        <w:rPr>
          <w:rFonts w:ascii="Arial" w:eastAsia="Calibri" w:hAnsi="Arial" w:cs="Arial"/>
          <w:color w:val="000000" w:themeColor="text1"/>
          <w:lang w:val="en-US"/>
        </w:rPr>
        <w:t xml:space="preserve"> Division/A</w:t>
      </w:r>
      <w:r w:rsidRPr="0098554D">
        <w:rPr>
          <w:rFonts w:ascii="Arial" w:eastAsia="Calibri" w:hAnsi="Arial" w:cs="Arial"/>
          <w:color w:val="000000" w:themeColor="text1"/>
          <w:lang w:val="en-US"/>
        </w:rPr>
        <w:t xml:space="preserve">ccounting </w:t>
      </w:r>
      <w:r w:rsidR="00317924">
        <w:rPr>
          <w:rFonts w:ascii="Arial" w:eastAsia="Calibri" w:hAnsi="Arial" w:cs="Arial"/>
          <w:color w:val="000000" w:themeColor="text1"/>
          <w:lang w:val="en-US"/>
        </w:rPr>
        <w:t>D</w:t>
      </w:r>
      <w:r w:rsidRPr="0098554D">
        <w:rPr>
          <w:rFonts w:ascii="Arial" w:eastAsia="Calibri" w:hAnsi="Arial" w:cs="Arial"/>
          <w:color w:val="000000" w:themeColor="text1"/>
          <w:lang w:val="en-US"/>
        </w:rPr>
        <w:t>ivision to</w:t>
      </w:r>
      <w:r w:rsidR="00590A8D">
        <w:rPr>
          <w:rFonts w:ascii="Arial" w:eastAsia="Calibri" w:hAnsi="Arial" w:cs="Arial"/>
          <w:color w:val="000000" w:themeColor="text1"/>
          <w:lang w:val="en-US"/>
        </w:rPr>
        <w:t>:</w:t>
      </w:r>
    </w:p>
    <w:p w:rsidR="00590A8D" w:rsidRPr="00A1086B" w:rsidRDefault="00590A8D" w:rsidP="00A1086B">
      <w:pPr>
        <w:pStyle w:val="NoSpacing"/>
        <w:tabs>
          <w:tab w:val="left" w:pos="709"/>
          <w:tab w:val="left" w:pos="1276"/>
        </w:tabs>
        <w:ind w:left="720"/>
        <w:jc w:val="both"/>
        <w:rPr>
          <w:rFonts w:ascii="Arial" w:eastAsia="Calibri" w:hAnsi="Arial" w:cs="Arial"/>
          <w:color w:val="000000" w:themeColor="text1"/>
          <w:sz w:val="20"/>
          <w:szCs w:val="20"/>
          <w:lang w:val="en-US"/>
        </w:rPr>
      </w:pPr>
    </w:p>
    <w:p w:rsidR="00590A8D" w:rsidRDefault="0000136B" w:rsidP="00565AD3">
      <w:pPr>
        <w:pStyle w:val="NoSpacing"/>
        <w:numPr>
          <w:ilvl w:val="0"/>
          <w:numId w:val="3"/>
        </w:numPr>
        <w:tabs>
          <w:tab w:val="left" w:pos="709"/>
          <w:tab w:val="left" w:pos="1134"/>
        </w:tabs>
        <w:ind w:left="709" w:firstLine="0"/>
        <w:jc w:val="both"/>
        <w:rPr>
          <w:rFonts w:ascii="Arial" w:eastAsia="Calibri" w:hAnsi="Arial" w:cs="Arial"/>
          <w:color w:val="000000" w:themeColor="text1"/>
          <w:lang w:val="en-US"/>
        </w:rPr>
      </w:pPr>
      <w:r>
        <w:rPr>
          <w:rFonts w:ascii="Arial" w:eastAsia="Calibri" w:hAnsi="Arial" w:cs="Arial"/>
          <w:color w:val="000000" w:themeColor="text1"/>
          <w:lang w:val="en-US"/>
        </w:rPr>
        <w:t>R</w:t>
      </w:r>
      <w:r w:rsidR="0098554D" w:rsidRPr="0098554D">
        <w:rPr>
          <w:rFonts w:ascii="Arial" w:eastAsia="Calibri" w:hAnsi="Arial" w:cs="Arial"/>
          <w:color w:val="000000" w:themeColor="text1"/>
          <w:lang w:val="en-US"/>
        </w:rPr>
        <w:t>econcile the RPCPPE with the accounting and property records to identify the missing and unrecorded properties in the books, as well as the NTA’s real properties in inventory listing that are inexistent and no longer in control of the NTA to be dropped from the property records, subject to the approval of the NTA BOD</w:t>
      </w:r>
      <w:r w:rsidR="00535C94">
        <w:rPr>
          <w:rFonts w:ascii="Arial" w:eastAsia="Calibri" w:hAnsi="Arial" w:cs="Arial"/>
          <w:color w:val="000000" w:themeColor="text1"/>
          <w:lang w:val="en-US"/>
        </w:rPr>
        <w:t xml:space="preserve"> and the pertinent laws, rules and regulations</w:t>
      </w:r>
      <w:r w:rsidR="00A7575A">
        <w:rPr>
          <w:rFonts w:ascii="Arial" w:eastAsia="Calibri" w:hAnsi="Arial" w:cs="Arial"/>
          <w:color w:val="000000" w:themeColor="text1"/>
          <w:lang w:val="en-US"/>
        </w:rPr>
        <w:t>;</w:t>
      </w:r>
    </w:p>
    <w:p w:rsidR="00590A8D" w:rsidRPr="00A1086B" w:rsidRDefault="00590A8D" w:rsidP="00A1086B">
      <w:pPr>
        <w:pStyle w:val="NoSpacing"/>
        <w:tabs>
          <w:tab w:val="left" w:pos="709"/>
          <w:tab w:val="left" w:pos="1134"/>
        </w:tabs>
        <w:ind w:left="709"/>
        <w:jc w:val="both"/>
        <w:rPr>
          <w:rFonts w:ascii="Arial" w:eastAsia="Calibri" w:hAnsi="Arial" w:cs="Arial"/>
          <w:color w:val="000000" w:themeColor="text1"/>
          <w:sz w:val="20"/>
          <w:szCs w:val="20"/>
          <w:lang w:val="en-US"/>
        </w:rPr>
      </w:pPr>
    </w:p>
    <w:p w:rsidR="0000136B" w:rsidRDefault="00590A8D" w:rsidP="00565AD3">
      <w:pPr>
        <w:pStyle w:val="NoSpacing"/>
        <w:numPr>
          <w:ilvl w:val="0"/>
          <w:numId w:val="3"/>
        </w:numPr>
        <w:tabs>
          <w:tab w:val="left" w:pos="709"/>
          <w:tab w:val="left" w:pos="1134"/>
        </w:tabs>
        <w:ind w:left="709" w:firstLine="0"/>
        <w:jc w:val="both"/>
        <w:rPr>
          <w:rFonts w:ascii="Arial" w:eastAsia="Calibri" w:hAnsi="Arial" w:cs="Arial"/>
          <w:color w:val="000000" w:themeColor="text1"/>
          <w:lang w:val="en-US"/>
        </w:rPr>
      </w:pPr>
      <w:r>
        <w:rPr>
          <w:rFonts w:ascii="Arial" w:eastAsia="Calibri" w:hAnsi="Arial" w:cs="Arial"/>
          <w:color w:val="000000" w:themeColor="text1"/>
          <w:lang w:val="en-US"/>
        </w:rPr>
        <w:t>Effect the necessary adjustments in the books and/or property records where appropriate</w:t>
      </w:r>
      <w:r w:rsidR="00A65F84">
        <w:rPr>
          <w:rFonts w:ascii="Arial" w:eastAsia="Calibri" w:hAnsi="Arial" w:cs="Arial"/>
          <w:color w:val="000000" w:themeColor="text1"/>
          <w:lang w:val="en-US"/>
        </w:rPr>
        <w:t>, if any,</w:t>
      </w:r>
      <w:r w:rsidR="0000136B">
        <w:rPr>
          <w:rFonts w:ascii="Arial" w:eastAsia="Calibri" w:hAnsi="Arial" w:cs="Arial"/>
          <w:color w:val="000000" w:themeColor="text1"/>
          <w:lang w:val="en-US"/>
        </w:rPr>
        <w:t xml:space="preserve"> to come up with correct balances of the PPE accounts;</w:t>
      </w:r>
      <w:r w:rsidR="00A7575A">
        <w:rPr>
          <w:rFonts w:ascii="Arial" w:eastAsia="Calibri" w:hAnsi="Arial" w:cs="Arial"/>
          <w:color w:val="000000" w:themeColor="text1"/>
          <w:lang w:val="en-US"/>
        </w:rPr>
        <w:t xml:space="preserve"> and</w:t>
      </w:r>
    </w:p>
    <w:p w:rsidR="0000136B" w:rsidRPr="00A1086B" w:rsidRDefault="0000136B" w:rsidP="00A1086B">
      <w:pPr>
        <w:pStyle w:val="NoSpacing"/>
        <w:tabs>
          <w:tab w:val="left" w:pos="709"/>
          <w:tab w:val="left" w:pos="1134"/>
        </w:tabs>
        <w:ind w:left="709"/>
        <w:jc w:val="both"/>
        <w:rPr>
          <w:rFonts w:ascii="Arial" w:eastAsia="Calibri" w:hAnsi="Arial" w:cs="Arial"/>
          <w:color w:val="000000" w:themeColor="text1"/>
          <w:sz w:val="20"/>
          <w:szCs w:val="20"/>
          <w:lang w:val="en-US"/>
        </w:rPr>
      </w:pPr>
    </w:p>
    <w:p w:rsidR="0098554D" w:rsidRPr="0000136B" w:rsidRDefault="0000136B" w:rsidP="00565AD3">
      <w:pPr>
        <w:pStyle w:val="NoSpacing"/>
        <w:numPr>
          <w:ilvl w:val="0"/>
          <w:numId w:val="3"/>
        </w:numPr>
        <w:tabs>
          <w:tab w:val="left" w:pos="709"/>
          <w:tab w:val="left" w:pos="1134"/>
        </w:tabs>
        <w:ind w:left="709" w:firstLine="0"/>
        <w:jc w:val="both"/>
        <w:rPr>
          <w:rFonts w:ascii="Arial" w:eastAsia="Calibri" w:hAnsi="Arial" w:cs="Arial"/>
          <w:color w:val="000000" w:themeColor="text1"/>
          <w:lang w:val="en-US"/>
        </w:rPr>
      </w:pPr>
      <w:r w:rsidRPr="00A1086B">
        <w:rPr>
          <w:rFonts w:ascii="Arial" w:hAnsi="Arial" w:cs="Arial"/>
          <w:bCs/>
          <w:color w:val="000000" w:themeColor="text1"/>
        </w:rPr>
        <w:t>Comply with the provisions of the PPSAS as to the recognition and depreciation of assets to correct any misstatements</w:t>
      </w:r>
      <w:r w:rsidR="00A7575A">
        <w:rPr>
          <w:rFonts w:ascii="Arial" w:hAnsi="Arial" w:cs="Arial"/>
          <w:bCs/>
          <w:color w:val="000000" w:themeColor="text1"/>
        </w:rPr>
        <w:t>;</w:t>
      </w:r>
    </w:p>
    <w:p w:rsidR="0098554D" w:rsidRPr="00A1086B" w:rsidRDefault="0098554D" w:rsidP="00962E8D">
      <w:pPr>
        <w:pStyle w:val="NoSpacing"/>
        <w:tabs>
          <w:tab w:val="left" w:pos="709"/>
        </w:tabs>
        <w:jc w:val="both"/>
        <w:rPr>
          <w:rFonts w:ascii="Arial" w:eastAsia="Calibri" w:hAnsi="Arial" w:cs="Arial"/>
          <w:color w:val="000000" w:themeColor="text1"/>
          <w:sz w:val="20"/>
          <w:szCs w:val="20"/>
          <w:lang w:val="en-US"/>
        </w:rPr>
      </w:pPr>
    </w:p>
    <w:p w:rsidR="00317924" w:rsidRDefault="0098554D" w:rsidP="00565AD3">
      <w:pPr>
        <w:pStyle w:val="NoSpacing"/>
        <w:numPr>
          <w:ilvl w:val="0"/>
          <w:numId w:val="1"/>
        </w:numPr>
        <w:tabs>
          <w:tab w:val="left" w:pos="709"/>
        </w:tabs>
        <w:ind w:left="0" w:firstLine="0"/>
        <w:jc w:val="both"/>
        <w:rPr>
          <w:rFonts w:ascii="Arial" w:eastAsia="Calibri" w:hAnsi="Arial" w:cs="Arial"/>
          <w:color w:val="000000" w:themeColor="text1"/>
          <w:lang w:val="en-US"/>
        </w:rPr>
      </w:pPr>
      <w:r w:rsidRPr="0098554D">
        <w:rPr>
          <w:rFonts w:ascii="Arial" w:eastAsia="Calibri" w:hAnsi="Arial" w:cs="Arial"/>
          <w:color w:val="000000" w:themeColor="text1"/>
          <w:lang w:val="en-US"/>
        </w:rPr>
        <w:t xml:space="preserve">Accountants of NTA </w:t>
      </w:r>
      <w:r w:rsidR="00317924">
        <w:rPr>
          <w:rFonts w:ascii="Arial" w:eastAsia="Calibri" w:hAnsi="Arial" w:cs="Arial"/>
          <w:color w:val="000000" w:themeColor="text1"/>
          <w:lang w:val="en-US"/>
        </w:rPr>
        <w:t>Head</w:t>
      </w:r>
      <w:r w:rsidRPr="0098554D">
        <w:rPr>
          <w:rFonts w:ascii="Arial" w:eastAsia="Calibri" w:hAnsi="Arial" w:cs="Arial"/>
          <w:color w:val="000000" w:themeColor="text1"/>
          <w:lang w:val="en-US"/>
        </w:rPr>
        <w:t xml:space="preserve"> and </w:t>
      </w:r>
      <w:r w:rsidR="00AF267F">
        <w:rPr>
          <w:rFonts w:ascii="Arial" w:eastAsia="Calibri" w:hAnsi="Arial" w:cs="Arial"/>
          <w:color w:val="000000" w:themeColor="text1"/>
          <w:lang w:val="en-US"/>
        </w:rPr>
        <w:t xml:space="preserve">concerned </w:t>
      </w:r>
      <w:r w:rsidR="00317924">
        <w:rPr>
          <w:rFonts w:ascii="Arial" w:eastAsia="Calibri" w:hAnsi="Arial" w:cs="Arial"/>
          <w:color w:val="000000" w:themeColor="text1"/>
          <w:lang w:val="en-US"/>
        </w:rPr>
        <w:t>B</w:t>
      </w:r>
      <w:r w:rsidRPr="0098554D">
        <w:rPr>
          <w:rFonts w:ascii="Arial" w:eastAsia="Calibri" w:hAnsi="Arial" w:cs="Arial"/>
          <w:color w:val="000000" w:themeColor="text1"/>
          <w:lang w:val="en-US"/>
        </w:rPr>
        <w:t>ranches to:</w:t>
      </w:r>
      <w:r>
        <w:rPr>
          <w:rFonts w:ascii="Arial" w:eastAsia="Calibri" w:hAnsi="Arial" w:cs="Arial"/>
          <w:color w:val="000000" w:themeColor="text1"/>
          <w:lang w:val="en-US"/>
        </w:rPr>
        <w:t xml:space="preserve"> </w:t>
      </w:r>
    </w:p>
    <w:p w:rsidR="00317924" w:rsidRPr="00A1086B" w:rsidRDefault="00317924" w:rsidP="00A1086B">
      <w:pPr>
        <w:pStyle w:val="NoSpacing"/>
        <w:tabs>
          <w:tab w:val="left" w:pos="709"/>
          <w:tab w:val="left" w:pos="1276"/>
        </w:tabs>
        <w:ind w:left="720"/>
        <w:jc w:val="both"/>
        <w:rPr>
          <w:rFonts w:ascii="Arial" w:eastAsia="Calibri" w:hAnsi="Arial" w:cs="Arial"/>
          <w:color w:val="000000" w:themeColor="text1"/>
          <w:sz w:val="20"/>
          <w:szCs w:val="20"/>
          <w:lang w:val="en-US"/>
        </w:rPr>
      </w:pPr>
    </w:p>
    <w:p w:rsidR="00317924" w:rsidRDefault="00317924" w:rsidP="00565AD3">
      <w:pPr>
        <w:pStyle w:val="NoSpacing"/>
        <w:numPr>
          <w:ilvl w:val="0"/>
          <w:numId w:val="4"/>
        </w:numPr>
        <w:tabs>
          <w:tab w:val="left" w:pos="709"/>
          <w:tab w:val="left" w:pos="1134"/>
        </w:tabs>
        <w:ind w:left="709" w:firstLine="0"/>
        <w:jc w:val="both"/>
        <w:rPr>
          <w:rFonts w:ascii="Arial" w:eastAsia="Calibri" w:hAnsi="Arial" w:cs="Arial"/>
          <w:color w:val="000000" w:themeColor="text1"/>
          <w:lang w:val="en-US"/>
        </w:rPr>
      </w:pPr>
      <w:r>
        <w:rPr>
          <w:rFonts w:ascii="Arial" w:eastAsia="Calibri" w:hAnsi="Arial" w:cs="Arial"/>
          <w:color w:val="000000" w:themeColor="text1"/>
          <w:lang w:val="en-US"/>
        </w:rPr>
        <w:t>C</w:t>
      </w:r>
      <w:r w:rsidR="0098554D" w:rsidRPr="0098554D">
        <w:rPr>
          <w:rFonts w:ascii="Arial" w:eastAsia="Calibri" w:hAnsi="Arial" w:cs="Arial"/>
          <w:color w:val="000000" w:themeColor="text1"/>
          <w:lang w:val="en-US"/>
        </w:rPr>
        <w:t>heck where the properties should be recorded, whether in the books of</w:t>
      </w:r>
      <w:r w:rsidR="00535C94">
        <w:rPr>
          <w:rFonts w:ascii="Arial" w:eastAsia="Calibri" w:hAnsi="Arial" w:cs="Arial"/>
          <w:color w:val="000000" w:themeColor="text1"/>
          <w:lang w:val="en-US"/>
        </w:rPr>
        <w:t xml:space="preserve"> the</w:t>
      </w:r>
      <w:r w:rsidR="0098554D" w:rsidRPr="0098554D">
        <w:rPr>
          <w:rFonts w:ascii="Arial" w:eastAsia="Calibri" w:hAnsi="Arial" w:cs="Arial"/>
          <w:color w:val="000000" w:themeColor="text1"/>
          <w:lang w:val="en-US"/>
        </w:rPr>
        <w:t xml:space="preserve"> Head Office or in the </w:t>
      </w:r>
      <w:r>
        <w:rPr>
          <w:rFonts w:ascii="Arial" w:eastAsia="Calibri" w:hAnsi="Arial" w:cs="Arial"/>
          <w:color w:val="000000" w:themeColor="text1"/>
          <w:lang w:val="en-US"/>
        </w:rPr>
        <w:t>B</w:t>
      </w:r>
      <w:r w:rsidR="0098554D" w:rsidRPr="0098554D">
        <w:rPr>
          <w:rFonts w:ascii="Arial" w:eastAsia="Calibri" w:hAnsi="Arial" w:cs="Arial"/>
          <w:color w:val="000000" w:themeColor="text1"/>
          <w:lang w:val="en-US"/>
        </w:rPr>
        <w:t>ranches, and together with the other reconciling items from the results of the reconciliation</w:t>
      </w:r>
      <w:r w:rsidR="00535C94">
        <w:rPr>
          <w:rFonts w:ascii="Arial" w:eastAsia="Calibri" w:hAnsi="Arial" w:cs="Arial"/>
          <w:color w:val="000000" w:themeColor="text1"/>
          <w:lang w:val="en-US"/>
        </w:rPr>
        <w:t xml:space="preserve">, </w:t>
      </w:r>
      <w:r w:rsidR="00535C94" w:rsidRPr="0098554D">
        <w:rPr>
          <w:rFonts w:ascii="Arial" w:eastAsia="Calibri" w:hAnsi="Arial" w:cs="Arial"/>
          <w:color w:val="000000" w:themeColor="text1"/>
          <w:lang w:val="en-US"/>
        </w:rPr>
        <w:t>make the necessary adjustments</w:t>
      </w:r>
      <w:r w:rsidR="00A7575A">
        <w:rPr>
          <w:rFonts w:ascii="Arial" w:eastAsia="Calibri" w:hAnsi="Arial" w:cs="Arial"/>
          <w:color w:val="000000" w:themeColor="text1"/>
          <w:lang w:val="en-US"/>
        </w:rPr>
        <w:t>;</w:t>
      </w:r>
    </w:p>
    <w:p w:rsidR="00317924" w:rsidRPr="00A1086B" w:rsidRDefault="00317924" w:rsidP="00A1086B">
      <w:pPr>
        <w:pStyle w:val="NoSpacing"/>
        <w:tabs>
          <w:tab w:val="left" w:pos="709"/>
          <w:tab w:val="left" w:pos="1134"/>
          <w:tab w:val="left" w:pos="1843"/>
        </w:tabs>
        <w:ind w:left="709"/>
        <w:jc w:val="both"/>
        <w:rPr>
          <w:rFonts w:ascii="Arial" w:eastAsia="Calibri" w:hAnsi="Arial" w:cs="Arial"/>
          <w:color w:val="000000" w:themeColor="text1"/>
          <w:sz w:val="20"/>
          <w:szCs w:val="20"/>
          <w:lang w:val="en-US"/>
        </w:rPr>
      </w:pPr>
    </w:p>
    <w:p w:rsidR="00FB05FB" w:rsidRDefault="00FB05FB" w:rsidP="00565AD3">
      <w:pPr>
        <w:pStyle w:val="NoSpacing"/>
        <w:numPr>
          <w:ilvl w:val="0"/>
          <w:numId w:val="4"/>
        </w:numPr>
        <w:tabs>
          <w:tab w:val="left" w:pos="709"/>
          <w:tab w:val="left" w:pos="1134"/>
        </w:tabs>
        <w:ind w:left="709" w:firstLine="0"/>
        <w:jc w:val="both"/>
        <w:rPr>
          <w:rFonts w:ascii="Arial" w:eastAsia="Calibri" w:hAnsi="Arial" w:cs="Arial"/>
          <w:color w:val="000000" w:themeColor="text1"/>
          <w:lang w:val="en-US"/>
        </w:rPr>
      </w:pPr>
      <w:r>
        <w:rPr>
          <w:rFonts w:ascii="Arial" w:eastAsia="Calibri" w:hAnsi="Arial" w:cs="Arial"/>
          <w:color w:val="000000" w:themeColor="text1"/>
          <w:lang w:val="en-US"/>
        </w:rPr>
        <w:t xml:space="preserve"> </w:t>
      </w:r>
      <w:r w:rsidR="00317924">
        <w:rPr>
          <w:rFonts w:ascii="Arial" w:eastAsia="Calibri" w:hAnsi="Arial" w:cs="Arial"/>
          <w:color w:val="000000" w:themeColor="text1"/>
          <w:lang w:val="en-US"/>
        </w:rPr>
        <w:t>E</w:t>
      </w:r>
      <w:r w:rsidR="0098554D" w:rsidRPr="00FB05FB">
        <w:rPr>
          <w:rFonts w:ascii="Arial" w:eastAsia="Calibri" w:hAnsi="Arial" w:cs="Arial"/>
          <w:color w:val="000000" w:themeColor="text1"/>
          <w:lang w:val="en-US"/>
        </w:rPr>
        <w:t xml:space="preserve">ffect the necessary adjustments on </w:t>
      </w:r>
      <w:r w:rsidR="00535C94">
        <w:rPr>
          <w:rFonts w:ascii="Arial" w:eastAsia="Calibri" w:hAnsi="Arial" w:cs="Arial"/>
          <w:color w:val="000000" w:themeColor="text1"/>
          <w:lang w:val="en-US"/>
        </w:rPr>
        <w:t xml:space="preserve">the </w:t>
      </w:r>
      <w:r w:rsidR="0098554D" w:rsidRPr="00FB05FB">
        <w:rPr>
          <w:rFonts w:ascii="Arial" w:eastAsia="Calibri" w:hAnsi="Arial" w:cs="Arial"/>
          <w:color w:val="000000" w:themeColor="text1"/>
          <w:lang w:val="en-US"/>
        </w:rPr>
        <w:t>recording of the sale of land in Paco, Manila and the installment payments received;</w:t>
      </w:r>
    </w:p>
    <w:p w:rsidR="00AF267F" w:rsidRPr="00A1086B" w:rsidRDefault="00AF267F" w:rsidP="00A1086B">
      <w:pPr>
        <w:pStyle w:val="NoSpacing"/>
        <w:tabs>
          <w:tab w:val="left" w:pos="709"/>
          <w:tab w:val="left" w:pos="1134"/>
        </w:tabs>
        <w:ind w:left="709"/>
        <w:jc w:val="both"/>
        <w:rPr>
          <w:rFonts w:ascii="Arial" w:hAnsi="Arial" w:cs="Arial"/>
          <w:bCs/>
          <w:color w:val="000000" w:themeColor="text1"/>
          <w:sz w:val="20"/>
          <w:szCs w:val="20"/>
        </w:rPr>
      </w:pPr>
    </w:p>
    <w:p w:rsidR="00DE5AA8" w:rsidRPr="00A1086B" w:rsidRDefault="00AF267F" w:rsidP="00565AD3">
      <w:pPr>
        <w:pStyle w:val="NoSpacing"/>
        <w:numPr>
          <w:ilvl w:val="0"/>
          <w:numId w:val="4"/>
        </w:numPr>
        <w:tabs>
          <w:tab w:val="left" w:pos="709"/>
          <w:tab w:val="left" w:pos="1134"/>
        </w:tabs>
        <w:ind w:left="709" w:firstLine="0"/>
        <w:jc w:val="both"/>
        <w:rPr>
          <w:rFonts w:ascii="Arial" w:hAnsi="Arial" w:cs="Arial"/>
          <w:bCs/>
          <w:color w:val="000000" w:themeColor="text1"/>
        </w:rPr>
      </w:pPr>
      <w:r w:rsidRPr="00A1086B">
        <w:rPr>
          <w:rFonts w:ascii="Arial" w:hAnsi="Arial" w:cs="Arial"/>
          <w:bCs/>
          <w:color w:val="000000" w:themeColor="text1"/>
        </w:rPr>
        <w:t>Derecognize the net carrying amount of the unserviceable properties of P0.570 million which were sold through public auction; and</w:t>
      </w:r>
    </w:p>
    <w:p w:rsidR="00DE5AA8" w:rsidRPr="00A1086B" w:rsidRDefault="00DE5AA8" w:rsidP="00A1086B">
      <w:pPr>
        <w:pStyle w:val="NoSpacing"/>
        <w:tabs>
          <w:tab w:val="left" w:pos="709"/>
          <w:tab w:val="left" w:pos="1134"/>
        </w:tabs>
        <w:jc w:val="both"/>
        <w:rPr>
          <w:rFonts w:ascii="Arial" w:hAnsi="Arial" w:cs="Arial"/>
          <w:bCs/>
          <w:color w:val="000000" w:themeColor="text1"/>
          <w:sz w:val="20"/>
          <w:szCs w:val="20"/>
        </w:rPr>
      </w:pPr>
    </w:p>
    <w:p w:rsidR="00AF267F" w:rsidRPr="00AF267F" w:rsidRDefault="00AF267F" w:rsidP="00565AD3">
      <w:pPr>
        <w:pStyle w:val="NoSpacing"/>
        <w:numPr>
          <w:ilvl w:val="0"/>
          <w:numId w:val="4"/>
        </w:numPr>
        <w:tabs>
          <w:tab w:val="left" w:pos="709"/>
          <w:tab w:val="left" w:pos="1134"/>
        </w:tabs>
        <w:ind w:left="709" w:firstLine="0"/>
        <w:jc w:val="both"/>
        <w:rPr>
          <w:rFonts w:ascii="Arial" w:eastAsia="Calibri" w:hAnsi="Arial" w:cs="Arial"/>
          <w:color w:val="000000" w:themeColor="text1"/>
          <w:lang w:val="en-US"/>
        </w:rPr>
      </w:pPr>
      <w:r w:rsidRPr="00A1086B">
        <w:rPr>
          <w:rFonts w:ascii="Arial" w:hAnsi="Arial" w:cs="Arial"/>
          <w:bCs/>
          <w:color w:val="000000" w:themeColor="text1"/>
        </w:rPr>
        <w:t>Reclassify the tangible items below the capitalization threshold of P15,000 to appropriate inventory/expense account, henceforth comply strictly with the provisions of COA Circular No. 2016-006</w:t>
      </w:r>
      <w:r w:rsidR="00A7575A">
        <w:rPr>
          <w:rFonts w:ascii="Arial" w:hAnsi="Arial" w:cs="Arial"/>
          <w:bCs/>
          <w:color w:val="000000" w:themeColor="text1"/>
        </w:rPr>
        <w:t>;</w:t>
      </w:r>
    </w:p>
    <w:p w:rsidR="00FB05FB" w:rsidRPr="00A1086B" w:rsidRDefault="00FB05FB" w:rsidP="00962E8D">
      <w:pPr>
        <w:pStyle w:val="NoSpacing"/>
        <w:tabs>
          <w:tab w:val="left" w:pos="709"/>
        </w:tabs>
        <w:jc w:val="both"/>
        <w:rPr>
          <w:rFonts w:ascii="Arial" w:eastAsia="Calibri" w:hAnsi="Arial" w:cs="Arial"/>
          <w:color w:val="000000" w:themeColor="text1"/>
          <w:sz w:val="20"/>
          <w:szCs w:val="20"/>
          <w:lang w:val="en-US"/>
        </w:rPr>
      </w:pPr>
    </w:p>
    <w:p w:rsidR="00FB05FB" w:rsidRDefault="0098554D" w:rsidP="00565AD3">
      <w:pPr>
        <w:pStyle w:val="NoSpacing"/>
        <w:numPr>
          <w:ilvl w:val="0"/>
          <w:numId w:val="1"/>
        </w:numPr>
        <w:tabs>
          <w:tab w:val="left" w:pos="709"/>
        </w:tabs>
        <w:ind w:left="0" w:firstLine="0"/>
        <w:jc w:val="both"/>
        <w:rPr>
          <w:rFonts w:ascii="Arial" w:eastAsia="Calibri" w:hAnsi="Arial" w:cs="Arial"/>
          <w:color w:val="000000" w:themeColor="text1"/>
          <w:lang w:val="en-US"/>
        </w:rPr>
      </w:pPr>
      <w:r w:rsidRPr="00FB05FB">
        <w:rPr>
          <w:rFonts w:ascii="Arial" w:eastAsia="Calibri" w:hAnsi="Arial" w:cs="Arial"/>
          <w:color w:val="000000" w:themeColor="text1"/>
          <w:lang w:val="en-US"/>
        </w:rPr>
        <w:t xml:space="preserve">Property Officer to facilitate the transfer and titling of the land where the NTA Pangasinan Branch is situated in the name of the Branch; </w:t>
      </w:r>
    </w:p>
    <w:p w:rsidR="00FB05FB" w:rsidRPr="00A1086B" w:rsidRDefault="00FB05FB" w:rsidP="00962E8D">
      <w:pPr>
        <w:pStyle w:val="NoSpacing"/>
        <w:tabs>
          <w:tab w:val="left" w:pos="709"/>
        </w:tabs>
        <w:jc w:val="both"/>
        <w:rPr>
          <w:rFonts w:ascii="Arial" w:eastAsia="Calibri" w:hAnsi="Arial" w:cs="Arial"/>
          <w:color w:val="000000" w:themeColor="text1"/>
          <w:sz w:val="20"/>
          <w:szCs w:val="20"/>
          <w:lang w:val="en-US"/>
        </w:rPr>
      </w:pPr>
    </w:p>
    <w:p w:rsidR="00FB05FB" w:rsidRDefault="0098554D" w:rsidP="00565AD3">
      <w:pPr>
        <w:pStyle w:val="NoSpacing"/>
        <w:numPr>
          <w:ilvl w:val="0"/>
          <w:numId w:val="1"/>
        </w:numPr>
        <w:tabs>
          <w:tab w:val="left" w:pos="709"/>
        </w:tabs>
        <w:ind w:left="0" w:firstLine="0"/>
        <w:jc w:val="both"/>
        <w:rPr>
          <w:rFonts w:ascii="Arial" w:eastAsia="Calibri" w:hAnsi="Arial" w:cs="Arial"/>
          <w:color w:val="000000" w:themeColor="text1"/>
          <w:lang w:val="en-US"/>
        </w:rPr>
      </w:pPr>
      <w:r w:rsidRPr="00FB05FB">
        <w:rPr>
          <w:rFonts w:ascii="Arial" w:eastAsia="Calibri" w:hAnsi="Arial" w:cs="Arial"/>
          <w:color w:val="000000" w:themeColor="text1"/>
          <w:lang w:val="en-US"/>
        </w:rPr>
        <w:t>Legal Officer to make representation before the court on all the cases where the ownership of NTA’s properties is being questioned; and</w:t>
      </w:r>
    </w:p>
    <w:p w:rsidR="00FB05FB" w:rsidRPr="00A1086B" w:rsidRDefault="00FB05FB" w:rsidP="00962E8D">
      <w:pPr>
        <w:pStyle w:val="NoSpacing"/>
        <w:tabs>
          <w:tab w:val="left" w:pos="709"/>
        </w:tabs>
        <w:jc w:val="both"/>
        <w:rPr>
          <w:rFonts w:ascii="Arial" w:eastAsia="Calibri" w:hAnsi="Arial" w:cs="Arial"/>
          <w:color w:val="000000" w:themeColor="text1"/>
          <w:sz w:val="20"/>
          <w:szCs w:val="20"/>
          <w:lang w:val="en-US"/>
        </w:rPr>
      </w:pPr>
    </w:p>
    <w:p w:rsidR="0098554D" w:rsidRDefault="0098554D" w:rsidP="00565AD3">
      <w:pPr>
        <w:pStyle w:val="NoSpacing"/>
        <w:numPr>
          <w:ilvl w:val="0"/>
          <w:numId w:val="1"/>
        </w:numPr>
        <w:tabs>
          <w:tab w:val="left" w:pos="709"/>
        </w:tabs>
        <w:ind w:left="0" w:firstLine="0"/>
        <w:jc w:val="both"/>
        <w:rPr>
          <w:rFonts w:ascii="Arial" w:eastAsia="Calibri" w:hAnsi="Arial" w:cs="Arial"/>
          <w:color w:val="000000" w:themeColor="text1"/>
          <w:lang w:val="en-US"/>
        </w:rPr>
      </w:pPr>
      <w:r w:rsidRPr="00FB05FB">
        <w:rPr>
          <w:rFonts w:ascii="Arial" w:eastAsia="Calibri" w:hAnsi="Arial" w:cs="Arial"/>
          <w:color w:val="000000" w:themeColor="text1"/>
          <w:lang w:val="en-US"/>
        </w:rPr>
        <w:t xml:space="preserve">Responsible officials to settle the upfront payment of P10 million to </w:t>
      </w:r>
      <w:r w:rsidR="0095073C">
        <w:rPr>
          <w:rFonts w:ascii="Arial" w:eastAsia="Calibri" w:hAnsi="Arial" w:cs="Arial"/>
          <w:color w:val="000000" w:themeColor="text1"/>
          <w:lang w:val="en-US"/>
        </w:rPr>
        <w:t>Philippine Deposit Insurance Corporation</w:t>
      </w:r>
      <w:r w:rsidRPr="00FB05FB">
        <w:rPr>
          <w:rFonts w:ascii="Arial" w:eastAsia="Calibri" w:hAnsi="Arial" w:cs="Arial"/>
          <w:color w:val="000000" w:themeColor="text1"/>
          <w:lang w:val="en-US"/>
        </w:rPr>
        <w:t xml:space="preserve"> to be able to distribute the lots in Golden Leaf Village, Montalban</w:t>
      </w:r>
      <w:r w:rsidR="00A7575A">
        <w:rPr>
          <w:rFonts w:ascii="Arial" w:eastAsia="Calibri" w:hAnsi="Arial" w:cs="Arial"/>
          <w:color w:val="000000" w:themeColor="text1"/>
          <w:lang w:val="en-US"/>
        </w:rPr>
        <w:t>,</w:t>
      </w:r>
      <w:r w:rsidRPr="00FB05FB">
        <w:rPr>
          <w:rFonts w:ascii="Arial" w:eastAsia="Calibri" w:hAnsi="Arial" w:cs="Arial"/>
          <w:color w:val="000000" w:themeColor="text1"/>
          <w:lang w:val="en-US"/>
        </w:rPr>
        <w:t xml:space="preserve"> Rizal to the employees of NTA.</w:t>
      </w:r>
    </w:p>
    <w:p w:rsidR="00A924A8" w:rsidRPr="00A1086B" w:rsidRDefault="00A924A8" w:rsidP="00A924A8">
      <w:pPr>
        <w:pStyle w:val="NoSpacing"/>
        <w:tabs>
          <w:tab w:val="left" w:pos="709"/>
        </w:tabs>
        <w:jc w:val="both"/>
        <w:rPr>
          <w:rFonts w:ascii="Arial" w:eastAsia="Calibri" w:hAnsi="Arial" w:cs="Arial"/>
          <w:color w:val="000000" w:themeColor="text1"/>
          <w:lang w:val="en-US"/>
        </w:rPr>
      </w:pPr>
    </w:p>
    <w:p w:rsidR="00A924A8" w:rsidRPr="00A1086B" w:rsidRDefault="00A924A8" w:rsidP="00565AD3">
      <w:pPr>
        <w:pStyle w:val="ListParagraph"/>
        <w:numPr>
          <w:ilvl w:val="0"/>
          <w:numId w:val="11"/>
        </w:numPr>
        <w:ind w:left="0" w:firstLine="0"/>
        <w:jc w:val="both"/>
        <w:rPr>
          <w:rFonts w:ascii="Arial" w:hAnsi="Arial" w:cs="Arial"/>
          <w:color w:val="000000" w:themeColor="text1"/>
        </w:rPr>
      </w:pPr>
      <w:r w:rsidRPr="00A1086B">
        <w:rPr>
          <w:rFonts w:ascii="Arial" w:hAnsi="Arial" w:cs="Arial"/>
          <w:color w:val="000000" w:themeColor="text1"/>
        </w:rPr>
        <w:t>Human Resources Division of the NTA Head Office and all Branches to regularly update and check the leave balances of the regular</w:t>
      </w:r>
      <w:r w:rsidR="00A65F84">
        <w:rPr>
          <w:rFonts w:ascii="Arial" w:hAnsi="Arial" w:cs="Arial"/>
          <w:color w:val="000000" w:themeColor="text1"/>
        </w:rPr>
        <w:t xml:space="preserve"> officials and</w:t>
      </w:r>
      <w:r w:rsidRPr="00A1086B">
        <w:rPr>
          <w:rFonts w:ascii="Arial" w:hAnsi="Arial" w:cs="Arial"/>
          <w:color w:val="000000" w:themeColor="text1"/>
        </w:rPr>
        <w:t xml:space="preserve"> employees to come up with reasonable estimate of the provision for Leave Benefits Payable at any reporting period; and</w:t>
      </w:r>
    </w:p>
    <w:p w:rsidR="00C87066" w:rsidRDefault="00C87066" w:rsidP="00565AD3">
      <w:pPr>
        <w:pStyle w:val="ListParagraph"/>
        <w:numPr>
          <w:ilvl w:val="0"/>
          <w:numId w:val="11"/>
        </w:numPr>
        <w:ind w:left="0" w:firstLine="0"/>
        <w:jc w:val="both"/>
        <w:rPr>
          <w:rFonts w:ascii="Arial" w:hAnsi="Arial" w:cs="Arial"/>
          <w:color w:val="000000" w:themeColor="text1"/>
        </w:rPr>
      </w:pPr>
      <w:r>
        <w:rPr>
          <w:rFonts w:ascii="Arial" w:hAnsi="Arial" w:cs="Arial"/>
          <w:color w:val="000000" w:themeColor="text1"/>
        </w:rPr>
        <w:t xml:space="preserve">Accounting </w:t>
      </w:r>
      <w:r w:rsidRPr="00C87066">
        <w:rPr>
          <w:rFonts w:ascii="Arial" w:hAnsi="Arial" w:cs="Arial"/>
          <w:color w:val="000000" w:themeColor="text1"/>
        </w:rPr>
        <w:t xml:space="preserve">Division of NTA </w:t>
      </w:r>
      <w:r w:rsidR="0070654F">
        <w:rPr>
          <w:rFonts w:ascii="Arial" w:hAnsi="Arial" w:cs="Arial"/>
          <w:color w:val="000000" w:themeColor="text1"/>
        </w:rPr>
        <w:t xml:space="preserve">Head Office </w:t>
      </w:r>
      <w:r w:rsidRPr="00C87066">
        <w:rPr>
          <w:rFonts w:ascii="Arial" w:hAnsi="Arial" w:cs="Arial"/>
          <w:color w:val="000000" w:themeColor="text1"/>
        </w:rPr>
        <w:t>and all Branches to verify the balance of earned leave credits and prepare the necessary adjusting journal entries to recognize the liability and expense of NTA for the leave benefits of NTA officials and employees for CY 2018 and prior years</w:t>
      </w:r>
      <w:r>
        <w:rPr>
          <w:rFonts w:ascii="Arial" w:hAnsi="Arial" w:cs="Arial"/>
          <w:color w:val="000000" w:themeColor="text1"/>
        </w:rPr>
        <w:t>.</w:t>
      </w:r>
    </w:p>
    <w:p w:rsidR="002333A9" w:rsidRPr="00C87066" w:rsidRDefault="002333A9" w:rsidP="002333A9">
      <w:pPr>
        <w:pStyle w:val="NoSpacing"/>
        <w:jc w:val="both"/>
        <w:rPr>
          <w:rFonts w:ascii="Arial" w:hAnsi="Arial" w:cs="Arial"/>
          <w:b/>
          <w:color w:val="000000" w:themeColor="text1"/>
        </w:rPr>
      </w:pPr>
      <w:r w:rsidRPr="00C87066">
        <w:rPr>
          <w:rFonts w:ascii="Arial" w:hAnsi="Arial" w:cs="Arial"/>
          <w:b/>
          <w:color w:val="000000" w:themeColor="text1"/>
        </w:rPr>
        <w:t>OTHER SIGNIFICANT AUDIT OBSERVATIONS AND RECOMMENDATIONS</w:t>
      </w:r>
    </w:p>
    <w:p w:rsidR="002333A9" w:rsidRPr="00A1086B" w:rsidRDefault="002333A9" w:rsidP="002333A9">
      <w:pPr>
        <w:pStyle w:val="NoSpacing"/>
        <w:ind w:left="720"/>
        <w:jc w:val="both"/>
        <w:rPr>
          <w:rFonts w:ascii="Arial" w:hAnsi="Arial" w:cs="Arial"/>
          <w:color w:val="000000" w:themeColor="text1"/>
          <w:sz w:val="20"/>
        </w:rPr>
      </w:pPr>
    </w:p>
    <w:p w:rsidR="005A3B4D" w:rsidRDefault="005A3B4D" w:rsidP="00565AD3">
      <w:pPr>
        <w:pStyle w:val="NoSpacing"/>
        <w:numPr>
          <w:ilvl w:val="0"/>
          <w:numId w:val="10"/>
        </w:numPr>
        <w:ind w:left="0" w:firstLine="0"/>
        <w:jc w:val="both"/>
        <w:rPr>
          <w:rFonts w:ascii="Arial" w:hAnsi="Arial" w:cs="Arial"/>
        </w:rPr>
      </w:pPr>
      <w:r w:rsidRPr="000A3E0D">
        <w:rPr>
          <w:rFonts w:ascii="Arial" w:hAnsi="Arial" w:cs="Arial"/>
          <w:bCs/>
          <w:color w:val="000000"/>
        </w:rPr>
        <w:t xml:space="preserve">Funds </w:t>
      </w:r>
      <w:r w:rsidR="00A63CEC" w:rsidRPr="000A3E0D">
        <w:rPr>
          <w:rFonts w:ascii="Arial" w:hAnsi="Arial" w:cs="Arial"/>
          <w:bCs/>
          <w:color w:val="000000"/>
        </w:rPr>
        <w:t>totaling P86.769</w:t>
      </w:r>
      <w:r w:rsidR="00A63CEC" w:rsidRPr="000A3E0D">
        <w:rPr>
          <w:rFonts w:ascii="Arial" w:hAnsi="Arial" w:cs="Arial"/>
          <w:b/>
          <w:bCs/>
          <w:color w:val="000000"/>
        </w:rPr>
        <w:t xml:space="preserve"> </w:t>
      </w:r>
      <w:r w:rsidR="00A63CEC" w:rsidRPr="000A3E0D">
        <w:rPr>
          <w:rFonts w:ascii="Arial" w:hAnsi="Arial" w:cs="Arial"/>
          <w:bCs/>
          <w:color w:val="000000"/>
        </w:rPr>
        <w:t>million</w:t>
      </w:r>
      <w:r w:rsidR="00A63CEC">
        <w:rPr>
          <w:rFonts w:ascii="Arial" w:hAnsi="Arial" w:cs="Arial"/>
          <w:bCs/>
          <w:color w:val="000000"/>
        </w:rPr>
        <w:t xml:space="preserve"> transferred</w:t>
      </w:r>
      <w:r w:rsidR="00A63CEC" w:rsidRPr="000A3E0D">
        <w:rPr>
          <w:rFonts w:ascii="Arial" w:hAnsi="Arial" w:cs="Arial"/>
          <w:bCs/>
          <w:color w:val="000000"/>
        </w:rPr>
        <w:t xml:space="preserve"> </w:t>
      </w:r>
      <w:r w:rsidRPr="000A3E0D">
        <w:rPr>
          <w:rFonts w:ascii="Arial" w:hAnsi="Arial" w:cs="Arial"/>
          <w:bCs/>
          <w:color w:val="000000"/>
        </w:rPr>
        <w:t>to 27 Local Government Units (LGUs) remained unliquidated despite</w:t>
      </w:r>
      <w:r w:rsidR="00BA3184">
        <w:rPr>
          <w:rFonts w:ascii="Arial" w:hAnsi="Arial" w:cs="Arial"/>
          <w:bCs/>
          <w:color w:val="000000"/>
        </w:rPr>
        <w:t xml:space="preserve"> the</w:t>
      </w:r>
      <w:r w:rsidRPr="000A3E0D">
        <w:rPr>
          <w:rFonts w:ascii="Arial" w:hAnsi="Arial" w:cs="Arial"/>
          <w:bCs/>
          <w:color w:val="000000"/>
        </w:rPr>
        <w:t xml:space="preserve"> project completion due to the lack of monitoring by the Management of the completed projects in the municipalities. Likewise, the unutilized funds totaling P398,352 were not returned to NTA by 16 LGUs, while a total of P13.937 million unreleased funds to LGUs remained under the custody of NTA and were not reverted back to the Bureau of Treasury (BTr</w:t>
      </w:r>
      <w:r>
        <w:rPr>
          <w:rFonts w:ascii="Arial" w:hAnsi="Arial" w:cs="Arial"/>
          <w:bCs/>
          <w:color w:val="000000"/>
        </w:rPr>
        <w:t>)</w:t>
      </w:r>
      <w:r w:rsidR="00A63CEC">
        <w:rPr>
          <w:rFonts w:ascii="Arial" w:hAnsi="Arial" w:cs="Arial"/>
          <w:bCs/>
          <w:color w:val="000000"/>
        </w:rPr>
        <w:t xml:space="preserve"> </w:t>
      </w:r>
      <w:r w:rsidR="00A63CEC" w:rsidRPr="000A3E0D">
        <w:rPr>
          <w:rFonts w:ascii="Arial" w:hAnsi="Arial" w:cs="Arial"/>
          <w:bCs/>
          <w:color w:val="000000"/>
        </w:rPr>
        <w:t>contrary to Item 4.9 of COA Circular No. 94-013</w:t>
      </w:r>
      <w:r w:rsidRPr="000A3E0D">
        <w:rPr>
          <w:rFonts w:ascii="Arial" w:hAnsi="Arial" w:cs="Arial"/>
        </w:rPr>
        <w:t>.</w:t>
      </w:r>
    </w:p>
    <w:p w:rsidR="005A3B4D" w:rsidRPr="00A1086B" w:rsidRDefault="005A3B4D" w:rsidP="005A3B4D">
      <w:pPr>
        <w:pStyle w:val="NoSpacing"/>
        <w:jc w:val="both"/>
        <w:rPr>
          <w:rFonts w:ascii="Arial" w:hAnsi="Arial" w:cs="Arial"/>
          <w:sz w:val="20"/>
        </w:rPr>
      </w:pPr>
    </w:p>
    <w:p w:rsidR="005A3B4D" w:rsidRPr="000A3E0D" w:rsidRDefault="005A3B4D" w:rsidP="00565AD3">
      <w:pPr>
        <w:pStyle w:val="NoSpacing"/>
        <w:numPr>
          <w:ilvl w:val="0"/>
          <w:numId w:val="6"/>
        </w:numPr>
        <w:ind w:left="0" w:firstLine="0"/>
        <w:jc w:val="both"/>
        <w:rPr>
          <w:rFonts w:ascii="Arial" w:hAnsi="Arial" w:cs="Arial"/>
        </w:rPr>
      </w:pPr>
      <w:r w:rsidRPr="000A3E0D">
        <w:rPr>
          <w:rFonts w:ascii="Arial" w:hAnsi="Arial" w:cs="Arial"/>
          <w:color w:val="000000"/>
        </w:rPr>
        <w:t>We recommended that Management:</w:t>
      </w:r>
    </w:p>
    <w:p w:rsidR="005A3B4D" w:rsidRPr="00A1086B" w:rsidRDefault="005A3B4D" w:rsidP="005A3B4D">
      <w:pPr>
        <w:pStyle w:val="NoSpacing"/>
        <w:jc w:val="both"/>
        <w:rPr>
          <w:rFonts w:ascii="Arial" w:hAnsi="Arial" w:cs="Arial"/>
          <w:color w:val="000000"/>
          <w:sz w:val="20"/>
        </w:rPr>
      </w:pPr>
    </w:p>
    <w:p w:rsidR="005A3B4D" w:rsidRPr="000A3E0D" w:rsidRDefault="005A3B4D" w:rsidP="00565AD3">
      <w:pPr>
        <w:pStyle w:val="NoSpacing"/>
        <w:numPr>
          <w:ilvl w:val="0"/>
          <w:numId w:val="5"/>
        </w:numPr>
        <w:tabs>
          <w:tab w:val="left" w:pos="1276"/>
        </w:tabs>
        <w:ind w:firstLine="0"/>
        <w:jc w:val="both"/>
        <w:rPr>
          <w:rFonts w:ascii="Arial" w:hAnsi="Arial" w:cs="Arial"/>
          <w:color w:val="000000"/>
        </w:rPr>
      </w:pPr>
      <w:r w:rsidRPr="000A3E0D">
        <w:rPr>
          <w:rFonts w:ascii="Arial" w:hAnsi="Arial" w:cs="Arial"/>
          <w:color w:val="000000"/>
        </w:rPr>
        <w:t xml:space="preserve">Follow up the demand letters sent to concerned LGUs with unliquidated fund balances to submit the liquidation reports and   those with unutilized funds to return the amounts to NTA in compliance with COA Circular No. 94-013; and </w:t>
      </w:r>
    </w:p>
    <w:p w:rsidR="005A3B4D" w:rsidRPr="00A1086B" w:rsidRDefault="005A3B4D" w:rsidP="005A3B4D">
      <w:pPr>
        <w:pStyle w:val="NoSpacing"/>
        <w:ind w:left="720"/>
        <w:jc w:val="both"/>
        <w:rPr>
          <w:rFonts w:ascii="Arial" w:hAnsi="Arial" w:cs="Arial"/>
          <w:color w:val="000000"/>
          <w:sz w:val="20"/>
        </w:rPr>
      </w:pPr>
    </w:p>
    <w:p w:rsidR="002333A9" w:rsidRDefault="005A3B4D" w:rsidP="00565AD3">
      <w:pPr>
        <w:pStyle w:val="NoSpacing"/>
        <w:numPr>
          <w:ilvl w:val="0"/>
          <w:numId w:val="5"/>
        </w:numPr>
        <w:tabs>
          <w:tab w:val="left" w:pos="1276"/>
        </w:tabs>
        <w:ind w:hanging="11"/>
        <w:jc w:val="both"/>
        <w:rPr>
          <w:rFonts w:ascii="Arial" w:hAnsi="Arial" w:cs="Arial"/>
          <w:color w:val="000000" w:themeColor="text1"/>
        </w:rPr>
      </w:pPr>
      <w:r w:rsidRPr="000A3E0D">
        <w:rPr>
          <w:rFonts w:ascii="Arial" w:hAnsi="Arial" w:cs="Arial"/>
          <w:color w:val="000000"/>
        </w:rPr>
        <w:t>Revert back to BTr the unreleased funds to LGUs for completed irrigation projects and projects not implemented</w:t>
      </w:r>
      <w:r w:rsidR="00430239" w:rsidRPr="00430239">
        <w:rPr>
          <w:rFonts w:ascii="Arial" w:hAnsi="Arial" w:cs="Arial"/>
          <w:color w:val="000000" w:themeColor="text1"/>
        </w:rPr>
        <w:t>.</w:t>
      </w:r>
    </w:p>
    <w:p w:rsidR="002333A9" w:rsidRPr="00A1086B" w:rsidRDefault="002333A9" w:rsidP="00FB05FB">
      <w:pPr>
        <w:pStyle w:val="NoSpacing"/>
        <w:jc w:val="both"/>
        <w:rPr>
          <w:rFonts w:ascii="Arial" w:hAnsi="Arial" w:cs="Arial"/>
          <w:color w:val="000000" w:themeColor="text1"/>
          <w:sz w:val="20"/>
        </w:rPr>
      </w:pPr>
    </w:p>
    <w:p w:rsidR="00FB05FB" w:rsidRPr="00A1086B" w:rsidRDefault="00FB05FB" w:rsidP="00546748">
      <w:pPr>
        <w:pStyle w:val="NoSpacing"/>
        <w:jc w:val="both"/>
        <w:rPr>
          <w:rFonts w:ascii="Arial" w:hAnsi="Arial" w:cs="Arial"/>
          <w:color w:val="000000" w:themeColor="text1"/>
          <w:sz w:val="20"/>
        </w:rPr>
      </w:pPr>
    </w:p>
    <w:p w:rsidR="00546748" w:rsidRDefault="00FB05FB" w:rsidP="00546748">
      <w:pPr>
        <w:pStyle w:val="NoSpacing"/>
        <w:jc w:val="both"/>
        <w:rPr>
          <w:rFonts w:ascii="Arial" w:hAnsi="Arial" w:cs="Arial"/>
          <w:b/>
          <w:color w:val="000000" w:themeColor="text1"/>
        </w:rPr>
      </w:pPr>
      <w:r w:rsidRPr="00FB05FB">
        <w:rPr>
          <w:rFonts w:ascii="Arial" w:hAnsi="Arial" w:cs="Arial"/>
          <w:b/>
          <w:color w:val="000000" w:themeColor="text1"/>
        </w:rPr>
        <w:t>AUDIT DISALLOWANCES, CHARGES AND SUSPENSIONS</w:t>
      </w:r>
    </w:p>
    <w:p w:rsidR="00FB05FB" w:rsidRPr="00A1086B" w:rsidRDefault="00FB05FB" w:rsidP="00546748">
      <w:pPr>
        <w:pStyle w:val="NoSpacing"/>
        <w:jc w:val="both"/>
        <w:rPr>
          <w:rFonts w:ascii="Arial" w:hAnsi="Arial" w:cs="Arial"/>
          <w:b/>
          <w:color w:val="000000" w:themeColor="text1"/>
          <w:sz w:val="20"/>
        </w:rPr>
      </w:pPr>
    </w:p>
    <w:p w:rsidR="00546748" w:rsidRPr="00C87066" w:rsidRDefault="00FB05FB" w:rsidP="00546748">
      <w:pPr>
        <w:pStyle w:val="NoSpacing"/>
        <w:jc w:val="both"/>
        <w:rPr>
          <w:rFonts w:ascii="Arial" w:hAnsi="Arial" w:cs="Arial"/>
          <w:color w:val="000000" w:themeColor="text1"/>
        </w:rPr>
      </w:pPr>
      <w:r w:rsidRPr="00FB05FB">
        <w:rPr>
          <w:rFonts w:ascii="Arial" w:hAnsi="Arial" w:cs="Arial"/>
          <w:color w:val="000000" w:themeColor="text1"/>
        </w:rPr>
        <w:t xml:space="preserve">As of December 31, 2018, total unsettled audit disallowances, charges and suspensions amounted to P32.482 million, P54,280 and P139.307 million, respectively. Of the total 51 </w:t>
      </w:r>
      <w:r w:rsidR="0095073C">
        <w:rPr>
          <w:rFonts w:ascii="Arial" w:hAnsi="Arial" w:cs="Arial"/>
          <w:color w:val="000000" w:themeColor="text1"/>
        </w:rPr>
        <w:t>Notices of Disallowances (</w:t>
      </w:r>
      <w:r w:rsidRPr="00FB05FB">
        <w:rPr>
          <w:rFonts w:ascii="Arial" w:hAnsi="Arial" w:cs="Arial"/>
          <w:color w:val="000000" w:themeColor="text1"/>
        </w:rPr>
        <w:t>NDs</w:t>
      </w:r>
      <w:r w:rsidR="0095073C">
        <w:rPr>
          <w:rFonts w:ascii="Arial" w:hAnsi="Arial" w:cs="Arial"/>
          <w:color w:val="000000" w:themeColor="text1"/>
        </w:rPr>
        <w:t>)</w:t>
      </w:r>
      <w:r w:rsidRPr="00FB05FB">
        <w:rPr>
          <w:rFonts w:ascii="Arial" w:hAnsi="Arial" w:cs="Arial"/>
          <w:color w:val="000000" w:themeColor="text1"/>
        </w:rPr>
        <w:t xml:space="preserve">, 18 were issued with Notices of Finality of Decision and COA Orders of Execution and 11 NDs with partial settlement through payroll deduction.  Ten NDs are under Appeal while 11 with Petition for Review before the Commission Proper, and one ND is within the six-month appeal period. There was partial settlement on the Notice of Charge.  Lastly, one of the two Notices of Suspension </w:t>
      </w:r>
      <w:r w:rsidR="00F07157">
        <w:rPr>
          <w:rFonts w:ascii="Arial" w:hAnsi="Arial" w:cs="Arial"/>
          <w:color w:val="000000" w:themeColor="text1"/>
        </w:rPr>
        <w:t xml:space="preserve">(NSs) </w:t>
      </w:r>
      <w:r w:rsidRPr="00FB05FB">
        <w:rPr>
          <w:rFonts w:ascii="Arial" w:hAnsi="Arial" w:cs="Arial"/>
          <w:color w:val="000000" w:themeColor="text1"/>
        </w:rPr>
        <w:t>was partially settled while the other one was also partially settled but with corresponding ND.</w:t>
      </w:r>
      <w:r w:rsidR="00385CAE">
        <w:rPr>
          <w:rFonts w:ascii="Arial" w:hAnsi="Arial" w:cs="Arial"/>
          <w:color w:val="000000" w:themeColor="text1"/>
        </w:rPr>
        <w:t xml:space="preserve"> </w:t>
      </w:r>
      <w:r w:rsidR="00385CAE" w:rsidRPr="00385CAE">
        <w:rPr>
          <w:rFonts w:ascii="Arial" w:hAnsi="Arial" w:cs="Arial"/>
          <w:color w:val="000000" w:themeColor="text1"/>
        </w:rPr>
        <w:t xml:space="preserve">The details and status of the unsettled disallowances, charges and suspensions are presented </w:t>
      </w:r>
      <w:r w:rsidR="00385CAE" w:rsidRPr="00C87066">
        <w:rPr>
          <w:rFonts w:ascii="Arial" w:hAnsi="Arial" w:cs="Arial"/>
          <w:color w:val="000000" w:themeColor="text1"/>
        </w:rPr>
        <w:t>in Annex C of this Report.</w:t>
      </w:r>
    </w:p>
    <w:p w:rsidR="00D37EDB" w:rsidRPr="00A1086B" w:rsidRDefault="00D37EDB" w:rsidP="00546748">
      <w:pPr>
        <w:pStyle w:val="NoSpacing"/>
        <w:jc w:val="both"/>
        <w:rPr>
          <w:rFonts w:ascii="Arial" w:hAnsi="Arial" w:cs="Arial"/>
          <w:color w:val="000000" w:themeColor="text1"/>
          <w:sz w:val="18"/>
        </w:rPr>
      </w:pPr>
    </w:p>
    <w:p w:rsidR="00FB05FB" w:rsidRPr="00A1086B" w:rsidRDefault="00FB05FB" w:rsidP="00546748">
      <w:pPr>
        <w:pStyle w:val="NoSpacing"/>
        <w:jc w:val="both"/>
        <w:rPr>
          <w:rFonts w:ascii="Arial" w:hAnsi="Arial" w:cs="Arial"/>
          <w:color w:val="000000" w:themeColor="text1"/>
          <w:sz w:val="18"/>
        </w:rPr>
      </w:pPr>
    </w:p>
    <w:p w:rsidR="00546748" w:rsidRPr="00546748" w:rsidRDefault="00546748" w:rsidP="00546748">
      <w:pPr>
        <w:pStyle w:val="NoSpacing"/>
        <w:jc w:val="both"/>
        <w:rPr>
          <w:rFonts w:ascii="Arial" w:hAnsi="Arial" w:cs="Arial"/>
          <w:b/>
          <w:color w:val="000000" w:themeColor="text1"/>
        </w:rPr>
      </w:pPr>
      <w:r w:rsidRPr="00546748">
        <w:rPr>
          <w:rFonts w:ascii="Arial" w:hAnsi="Arial" w:cs="Arial"/>
          <w:b/>
          <w:color w:val="000000" w:themeColor="text1"/>
        </w:rPr>
        <w:t>STATUS OF IMPLEMENTATION BY THE AUDITEE OF PRIOR YEARS’ AUDIT RECOMMENDATIONS</w:t>
      </w:r>
    </w:p>
    <w:p w:rsidR="00546748" w:rsidRPr="00A1086B" w:rsidRDefault="00546748" w:rsidP="00546748">
      <w:pPr>
        <w:pStyle w:val="NoSpacing"/>
        <w:jc w:val="both"/>
        <w:rPr>
          <w:rFonts w:ascii="Arial" w:hAnsi="Arial" w:cs="Arial"/>
          <w:color w:val="000000" w:themeColor="text1"/>
          <w:sz w:val="20"/>
        </w:rPr>
      </w:pPr>
    </w:p>
    <w:p w:rsidR="00546748" w:rsidRPr="00C87066" w:rsidRDefault="00FB05FB" w:rsidP="00FB05FB">
      <w:pPr>
        <w:pStyle w:val="NoSpacing"/>
        <w:jc w:val="both"/>
        <w:rPr>
          <w:rFonts w:ascii="Arial" w:hAnsi="Arial" w:cs="Arial"/>
          <w:color w:val="000000" w:themeColor="text1"/>
        </w:rPr>
      </w:pPr>
      <w:r w:rsidRPr="00FB05FB">
        <w:rPr>
          <w:rFonts w:ascii="Arial" w:hAnsi="Arial" w:cs="Arial"/>
          <w:color w:val="000000" w:themeColor="text1"/>
        </w:rPr>
        <w:t xml:space="preserve">Of the 95 audit recommendations embodied in the Annual Audit Reports for </w:t>
      </w:r>
      <w:r w:rsidR="00F07157">
        <w:rPr>
          <w:rFonts w:ascii="Arial" w:hAnsi="Arial" w:cs="Arial"/>
          <w:color w:val="000000" w:themeColor="text1"/>
        </w:rPr>
        <w:t>CYs</w:t>
      </w:r>
      <w:r w:rsidRPr="00FB05FB">
        <w:rPr>
          <w:rFonts w:ascii="Arial" w:hAnsi="Arial" w:cs="Arial"/>
          <w:color w:val="000000" w:themeColor="text1"/>
        </w:rPr>
        <w:t xml:space="preserve"> 2017 and prior years, 67 were fully implemented, thus, deleted and excluded in this Status.  Six audit recommendations for CY 2016 which were reiterated in CY 2017 were deleted and excluded in this Status; and a</w:t>
      </w:r>
      <w:r w:rsidR="009A49D1">
        <w:rPr>
          <w:rFonts w:ascii="Arial" w:hAnsi="Arial" w:cs="Arial"/>
          <w:color w:val="000000" w:themeColor="text1"/>
        </w:rPr>
        <w:t>n</w:t>
      </w:r>
      <w:r w:rsidRPr="00FB05FB">
        <w:rPr>
          <w:rFonts w:ascii="Arial" w:hAnsi="Arial" w:cs="Arial"/>
          <w:color w:val="000000" w:themeColor="text1"/>
        </w:rPr>
        <w:t xml:space="preserve"> NS was issued for three audit recommendations, hence, deleted from this Status and incorporated in Annex C </w:t>
      </w:r>
      <w:r w:rsidR="00385CAE">
        <w:rPr>
          <w:rFonts w:ascii="Arial" w:hAnsi="Arial" w:cs="Arial"/>
          <w:color w:val="000000" w:themeColor="text1"/>
        </w:rPr>
        <w:t>of this report</w:t>
      </w:r>
      <w:r w:rsidRPr="00FB05FB">
        <w:rPr>
          <w:rFonts w:ascii="Arial" w:hAnsi="Arial" w:cs="Arial"/>
          <w:color w:val="000000" w:themeColor="text1"/>
        </w:rPr>
        <w:t>.  Lastly, four were not implemented; nine were partially implemented; and six were revised and reformulated to be more doable, specific and measurable</w:t>
      </w:r>
      <w:r>
        <w:rPr>
          <w:rFonts w:ascii="Arial" w:hAnsi="Arial" w:cs="Arial"/>
          <w:color w:val="000000" w:themeColor="text1"/>
        </w:rPr>
        <w:t>.</w:t>
      </w:r>
      <w:r w:rsidR="00385CAE">
        <w:rPr>
          <w:rFonts w:ascii="Arial" w:hAnsi="Arial" w:cs="Arial"/>
          <w:color w:val="000000" w:themeColor="text1"/>
        </w:rPr>
        <w:t xml:space="preserve"> </w:t>
      </w:r>
      <w:r w:rsidR="00385CAE" w:rsidRPr="00385CAE">
        <w:rPr>
          <w:rFonts w:ascii="Arial" w:hAnsi="Arial" w:cs="Arial"/>
          <w:color w:val="000000" w:themeColor="text1"/>
        </w:rPr>
        <w:t xml:space="preserve">The details of </w:t>
      </w:r>
      <w:r w:rsidR="00385CAE">
        <w:rPr>
          <w:rFonts w:ascii="Arial" w:hAnsi="Arial" w:cs="Arial"/>
          <w:color w:val="000000" w:themeColor="text1"/>
        </w:rPr>
        <w:t xml:space="preserve">the prior years’ audit </w:t>
      </w:r>
      <w:r w:rsidR="00385CAE" w:rsidRPr="00C87066">
        <w:rPr>
          <w:rFonts w:ascii="Arial" w:hAnsi="Arial" w:cs="Arial"/>
          <w:color w:val="000000" w:themeColor="text1"/>
        </w:rPr>
        <w:t>recommendations are presented in Part III of this report.</w:t>
      </w:r>
    </w:p>
    <w:sectPr w:rsidR="00546748" w:rsidRPr="00C87066" w:rsidSect="00BC4B8C">
      <w:footerReference w:type="default" r:id="rId8"/>
      <w:pgSz w:w="12240" w:h="15840" w:code="1"/>
      <w:pgMar w:top="1440" w:right="1440" w:bottom="1440" w:left="1440" w:header="720" w:footer="720" w:gutter="720"/>
      <w:pgNumType w:fmt="lowerRoman"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6D7F" w:rsidRDefault="00D56D7F">
      <w:pPr>
        <w:spacing w:after="0" w:line="240" w:lineRule="auto"/>
      </w:pPr>
      <w:r>
        <w:separator/>
      </w:r>
    </w:p>
  </w:endnote>
  <w:endnote w:type="continuationSeparator" w:id="0">
    <w:p w:rsidR="00D56D7F" w:rsidRDefault="00D56D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923745"/>
      <w:docPartObj>
        <w:docPartGallery w:val="Page Numbers (Bottom of Page)"/>
        <w:docPartUnique/>
      </w:docPartObj>
    </w:sdtPr>
    <w:sdtEndPr>
      <w:rPr>
        <w:color w:val="000000" w:themeColor="text1"/>
      </w:rPr>
    </w:sdtEndPr>
    <w:sdtContent>
      <w:p w:rsidR="003E31E0" w:rsidRPr="00FE4221" w:rsidRDefault="004947E8">
        <w:pPr>
          <w:pStyle w:val="Footer"/>
          <w:jc w:val="right"/>
          <w:rPr>
            <w:color w:val="000000" w:themeColor="text1"/>
          </w:rPr>
        </w:pPr>
        <w:r w:rsidRPr="00FE4221">
          <w:rPr>
            <w:color w:val="000000" w:themeColor="text1"/>
          </w:rPr>
          <w:fldChar w:fldCharType="begin"/>
        </w:r>
        <w:r w:rsidRPr="00FE4221">
          <w:rPr>
            <w:color w:val="000000" w:themeColor="text1"/>
          </w:rPr>
          <w:instrText xml:space="preserve"> PAGE   \* MERGEFORMAT </w:instrText>
        </w:r>
        <w:r w:rsidRPr="00FE4221">
          <w:rPr>
            <w:color w:val="000000" w:themeColor="text1"/>
          </w:rPr>
          <w:fldChar w:fldCharType="separate"/>
        </w:r>
        <w:r w:rsidR="007A107A">
          <w:rPr>
            <w:noProof/>
            <w:color w:val="000000" w:themeColor="text1"/>
          </w:rPr>
          <w:t>i</w:t>
        </w:r>
        <w:r w:rsidRPr="00FE4221">
          <w:rPr>
            <w:color w:val="000000" w:themeColor="text1"/>
          </w:rPr>
          <w:fldChar w:fldCharType="end"/>
        </w:r>
      </w:p>
    </w:sdtContent>
  </w:sdt>
  <w:p w:rsidR="003E31E0" w:rsidRDefault="007A10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6D7F" w:rsidRDefault="00D56D7F">
      <w:pPr>
        <w:spacing w:after="0" w:line="240" w:lineRule="auto"/>
      </w:pPr>
      <w:r>
        <w:separator/>
      </w:r>
    </w:p>
  </w:footnote>
  <w:footnote w:type="continuationSeparator" w:id="0">
    <w:p w:rsidR="00D56D7F" w:rsidRDefault="00D56D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71F73"/>
    <w:multiLevelType w:val="hybridMultilevel"/>
    <w:tmpl w:val="650AAC54"/>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nsid w:val="0AC97AB1"/>
    <w:multiLevelType w:val="hybridMultilevel"/>
    <w:tmpl w:val="4AC287E6"/>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
    <w:nsid w:val="154E78D7"/>
    <w:multiLevelType w:val="hybridMultilevel"/>
    <w:tmpl w:val="24FE9608"/>
    <w:lvl w:ilvl="0" w:tplc="417EDB64">
      <w:start w:val="1"/>
      <w:numFmt w:val="decimal"/>
      <w:lvlText w:val="%1."/>
      <w:lvlJc w:val="left"/>
      <w:pPr>
        <w:ind w:left="720" w:hanging="360"/>
      </w:pPr>
      <w:rPr>
        <w:rFonts w:ascii="Arial" w:hAnsi="Arial" w:cs="Arial" w:hint="default"/>
        <w:sz w:val="22"/>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nsid w:val="28DE7F01"/>
    <w:multiLevelType w:val="hybridMultilevel"/>
    <w:tmpl w:val="6BC8397A"/>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
    <w:nsid w:val="426D2317"/>
    <w:multiLevelType w:val="hybridMultilevel"/>
    <w:tmpl w:val="F6782244"/>
    <w:lvl w:ilvl="0" w:tplc="45FAE40A">
      <w:start w:val="1"/>
      <w:numFmt w:val="decimal"/>
      <w:lvlText w:val="3.%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nsid w:val="4C2B581D"/>
    <w:multiLevelType w:val="hybridMultilevel"/>
    <w:tmpl w:val="5F942742"/>
    <w:lvl w:ilvl="0" w:tplc="98F8F158">
      <w:start w:val="1"/>
      <w:numFmt w:val="decimal"/>
      <w:lvlText w:val="4.%1"/>
      <w:lvlJc w:val="left"/>
      <w:pPr>
        <w:ind w:left="720" w:hanging="360"/>
      </w:pPr>
      <w:rPr>
        <w:rFonts w:hint="default"/>
        <w:color w:val="00000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nsid w:val="4FE01215"/>
    <w:multiLevelType w:val="hybridMultilevel"/>
    <w:tmpl w:val="C8E0C586"/>
    <w:lvl w:ilvl="0" w:tplc="34090019">
      <w:start w:val="1"/>
      <w:numFmt w:val="lowerLetter"/>
      <w:lvlText w:val="%1."/>
      <w:lvlJc w:val="left"/>
      <w:pPr>
        <w:ind w:left="1070" w:hanging="360"/>
      </w:pPr>
      <w:rPr>
        <w:rFonts w:hint="default"/>
      </w:rPr>
    </w:lvl>
    <w:lvl w:ilvl="1" w:tplc="34090019" w:tentative="1">
      <w:start w:val="1"/>
      <w:numFmt w:val="lowerLetter"/>
      <w:lvlText w:val="%2."/>
      <w:lvlJc w:val="left"/>
      <w:pPr>
        <w:ind w:left="1790" w:hanging="360"/>
      </w:pPr>
    </w:lvl>
    <w:lvl w:ilvl="2" w:tplc="3409001B" w:tentative="1">
      <w:start w:val="1"/>
      <w:numFmt w:val="lowerRoman"/>
      <w:lvlText w:val="%3."/>
      <w:lvlJc w:val="right"/>
      <w:pPr>
        <w:ind w:left="2510" w:hanging="180"/>
      </w:pPr>
    </w:lvl>
    <w:lvl w:ilvl="3" w:tplc="3409000F" w:tentative="1">
      <w:start w:val="1"/>
      <w:numFmt w:val="decimal"/>
      <w:lvlText w:val="%4."/>
      <w:lvlJc w:val="left"/>
      <w:pPr>
        <w:ind w:left="3230" w:hanging="360"/>
      </w:pPr>
    </w:lvl>
    <w:lvl w:ilvl="4" w:tplc="34090019" w:tentative="1">
      <w:start w:val="1"/>
      <w:numFmt w:val="lowerLetter"/>
      <w:lvlText w:val="%5."/>
      <w:lvlJc w:val="left"/>
      <w:pPr>
        <w:ind w:left="3950" w:hanging="360"/>
      </w:pPr>
    </w:lvl>
    <w:lvl w:ilvl="5" w:tplc="3409001B" w:tentative="1">
      <w:start w:val="1"/>
      <w:numFmt w:val="lowerRoman"/>
      <w:lvlText w:val="%6."/>
      <w:lvlJc w:val="right"/>
      <w:pPr>
        <w:ind w:left="4670" w:hanging="180"/>
      </w:pPr>
    </w:lvl>
    <w:lvl w:ilvl="6" w:tplc="3409000F" w:tentative="1">
      <w:start w:val="1"/>
      <w:numFmt w:val="decimal"/>
      <w:lvlText w:val="%7."/>
      <w:lvlJc w:val="left"/>
      <w:pPr>
        <w:ind w:left="5390" w:hanging="360"/>
      </w:pPr>
    </w:lvl>
    <w:lvl w:ilvl="7" w:tplc="34090019" w:tentative="1">
      <w:start w:val="1"/>
      <w:numFmt w:val="lowerLetter"/>
      <w:lvlText w:val="%8."/>
      <w:lvlJc w:val="left"/>
      <w:pPr>
        <w:ind w:left="6110" w:hanging="360"/>
      </w:pPr>
    </w:lvl>
    <w:lvl w:ilvl="8" w:tplc="3409001B" w:tentative="1">
      <w:start w:val="1"/>
      <w:numFmt w:val="lowerRoman"/>
      <w:lvlText w:val="%9."/>
      <w:lvlJc w:val="right"/>
      <w:pPr>
        <w:ind w:left="6830" w:hanging="180"/>
      </w:pPr>
    </w:lvl>
  </w:abstractNum>
  <w:abstractNum w:abstractNumId="7">
    <w:nsid w:val="5AEB424C"/>
    <w:multiLevelType w:val="hybridMultilevel"/>
    <w:tmpl w:val="1A2094A4"/>
    <w:lvl w:ilvl="0" w:tplc="2C74EBFC">
      <w:start w:val="1"/>
      <w:numFmt w:val="decimal"/>
      <w:lvlText w:val="2.%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nsid w:val="60BB1F97"/>
    <w:multiLevelType w:val="hybridMultilevel"/>
    <w:tmpl w:val="59741D6C"/>
    <w:lvl w:ilvl="0" w:tplc="34090019">
      <w:start w:val="1"/>
      <w:numFmt w:val="lowerLetter"/>
      <w:lvlText w:val="%1."/>
      <w:lvlJc w:val="lef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9">
    <w:nsid w:val="76173483"/>
    <w:multiLevelType w:val="hybridMultilevel"/>
    <w:tmpl w:val="985A3EB2"/>
    <w:lvl w:ilvl="0" w:tplc="34090019">
      <w:start w:val="1"/>
      <w:numFmt w:val="lowerLetter"/>
      <w:lvlText w:val="%1."/>
      <w:lvlJc w:val="left"/>
      <w:pPr>
        <w:ind w:left="1446" w:hanging="360"/>
      </w:pPr>
      <w:rPr>
        <w:rFonts w:hint="default"/>
        <w:b w:val="0"/>
        <w:color w:val="000000" w:themeColor="text1"/>
      </w:rPr>
    </w:lvl>
    <w:lvl w:ilvl="1" w:tplc="34090019" w:tentative="1">
      <w:start w:val="1"/>
      <w:numFmt w:val="lowerLetter"/>
      <w:lvlText w:val="%2."/>
      <w:lvlJc w:val="left"/>
      <w:pPr>
        <w:ind w:left="2166" w:hanging="360"/>
      </w:pPr>
    </w:lvl>
    <w:lvl w:ilvl="2" w:tplc="3409001B" w:tentative="1">
      <w:start w:val="1"/>
      <w:numFmt w:val="lowerRoman"/>
      <w:lvlText w:val="%3."/>
      <w:lvlJc w:val="right"/>
      <w:pPr>
        <w:ind w:left="2886" w:hanging="180"/>
      </w:pPr>
    </w:lvl>
    <w:lvl w:ilvl="3" w:tplc="3409000F" w:tentative="1">
      <w:start w:val="1"/>
      <w:numFmt w:val="decimal"/>
      <w:lvlText w:val="%4."/>
      <w:lvlJc w:val="left"/>
      <w:pPr>
        <w:ind w:left="3606" w:hanging="360"/>
      </w:pPr>
    </w:lvl>
    <w:lvl w:ilvl="4" w:tplc="34090019" w:tentative="1">
      <w:start w:val="1"/>
      <w:numFmt w:val="lowerLetter"/>
      <w:lvlText w:val="%5."/>
      <w:lvlJc w:val="left"/>
      <w:pPr>
        <w:ind w:left="4326" w:hanging="360"/>
      </w:pPr>
    </w:lvl>
    <w:lvl w:ilvl="5" w:tplc="3409001B" w:tentative="1">
      <w:start w:val="1"/>
      <w:numFmt w:val="lowerRoman"/>
      <w:lvlText w:val="%6."/>
      <w:lvlJc w:val="right"/>
      <w:pPr>
        <w:ind w:left="5046" w:hanging="180"/>
      </w:pPr>
    </w:lvl>
    <w:lvl w:ilvl="6" w:tplc="3409000F" w:tentative="1">
      <w:start w:val="1"/>
      <w:numFmt w:val="decimal"/>
      <w:lvlText w:val="%7."/>
      <w:lvlJc w:val="left"/>
      <w:pPr>
        <w:ind w:left="5766" w:hanging="360"/>
      </w:pPr>
    </w:lvl>
    <w:lvl w:ilvl="7" w:tplc="34090019" w:tentative="1">
      <w:start w:val="1"/>
      <w:numFmt w:val="lowerLetter"/>
      <w:lvlText w:val="%8."/>
      <w:lvlJc w:val="left"/>
      <w:pPr>
        <w:ind w:left="6486" w:hanging="360"/>
      </w:pPr>
    </w:lvl>
    <w:lvl w:ilvl="8" w:tplc="3409001B" w:tentative="1">
      <w:start w:val="1"/>
      <w:numFmt w:val="lowerRoman"/>
      <w:lvlText w:val="%9."/>
      <w:lvlJc w:val="right"/>
      <w:pPr>
        <w:ind w:left="7206" w:hanging="180"/>
      </w:pPr>
    </w:lvl>
  </w:abstractNum>
  <w:abstractNum w:abstractNumId="10">
    <w:nsid w:val="7B361D21"/>
    <w:multiLevelType w:val="hybridMultilevel"/>
    <w:tmpl w:val="7C22ADC8"/>
    <w:lvl w:ilvl="0" w:tplc="A5FAD0A6">
      <w:start w:val="1"/>
      <w:numFmt w:val="decimal"/>
      <w:lvlText w:val="1.%1"/>
      <w:lvlJc w:val="left"/>
      <w:pPr>
        <w:ind w:left="720" w:hanging="36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abstractNumId w:val="7"/>
  </w:num>
  <w:num w:numId="2">
    <w:abstractNumId w:val="9"/>
  </w:num>
  <w:num w:numId="3">
    <w:abstractNumId w:val="6"/>
  </w:num>
  <w:num w:numId="4">
    <w:abstractNumId w:val="8"/>
  </w:num>
  <w:num w:numId="5">
    <w:abstractNumId w:val="1"/>
  </w:num>
  <w:num w:numId="6">
    <w:abstractNumId w:val="5"/>
  </w:num>
  <w:num w:numId="7">
    <w:abstractNumId w:val="10"/>
  </w:num>
  <w:num w:numId="8">
    <w:abstractNumId w:val="3"/>
  </w:num>
  <w:num w:numId="9">
    <w:abstractNumId w:val="0"/>
  </w:num>
  <w:num w:numId="10">
    <w:abstractNumId w:val="2"/>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xGziDUIIzByjaw22W64aXbd96pVRgctwCLaiZIVoZtSyF3IsD2ynrBB8zxVwiXQwieUKLYCtSmxLM8gXq2zsmQ==" w:salt="nfN3WpCYcM5WmiJ1rfw82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7E8"/>
    <w:rsid w:val="0000136B"/>
    <w:rsid w:val="00037D18"/>
    <w:rsid w:val="000E3F49"/>
    <w:rsid w:val="000F0DB6"/>
    <w:rsid w:val="001333A9"/>
    <w:rsid w:val="00157DC1"/>
    <w:rsid w:val="00162235"/>
    <w:rsid w:val="0019233D"/>
    <w:rsid w:val="001C1CED"/>
    <w:rsid w:val="001D598B"/>
    <w:rsid w:val="002333A9"/>
    <w:rsid w:val="00235809"/>
    <w:rsid w:val="0023626F"/>
    <w:rsid w:val="00240C25"/>
    <w:rsid w:val="00242633"/>
    <w:rsid w:val="002822EB"/>
    <w:rsid w:val="002940A8"/>
    <w:rsid w:val="002C047B"/>
    <w:rsid w:val="002D67F1"/>
    <w:rsid w:val="002F01CD"/>
    <w:rsid w:val="002F3430"/>
    <w:rsid w:val="00303887"/>
    <w:rsid w:val="00317924"/>
    <w:rsid w:val="00372260"/>
    <w:rsid w:val="00385CAE"/>
    <w:rsid w:val="003922BA"/>
    <w:rsid w:val="003B773A"/>
    <w:rsid w:val="003C04F3"/>
    <w:rsid w:val="003E155F"/>
    <w:rsid w:val="00430239"/>
    <w:rsid w:val="00461BE0"/>
    <w:rsid w:val="004947E8"/>
    <w:rsid w:val="004A6C96"/>
    <w:rsid w:val="004E6020"/>
    <w:rsid w:val="00535C94"/>
    <w:rsid w:val="00546748"/>
    <w:rsid w:val="00565AD3"/>
    <w:rsid w:val="005728DD"/>
    <w:rsid w:val="00585CF2"/>
    <w:rsid w:val="00590A8D"/>
    <w:rsid w:val="005A3B4D"/>
    <w:rsid w:val="005B4B85"/>
    <w:rsid w:val="005B7C7A"/>
    <w:rsid w:val="005C0558"/>
    <w:rsid w:val="005C7F53"/>
    <w:rsid w:val="006114A8"/>
    <w:rsid w:val="00617001"/>
    <w:rsid w:val="00650CE4"/>
    <w:rsid w:val="006D6577"/>
    <w:rsid w:val="006E5AFF"/>
    <w:rsid w:val="0070654F"/>
    <w:rsid w:val="0072531A"/>
    <w:rsid w:val="00726F63"/>
    <w:rsid w:val="00727E3A"/>
    <w:rsid w:val="007476E7"/>
    <w:rsid w:val="00764DF4"/>
    <w:rsid w:val="00775BF0"/>
    <w:rsid w:val="007A107A"/>
    <w:rsid w:val="007D5241"/>
    <w:rsid w:val="007F1B41"/>
    <w:rsid w:val="00831815"/>
    <w:rsid w:val="00887A08"/>
    <w:rsid w:val="008B748C"/>
    <w:rsid w:val="008C10C9"/>
    <w:rsid w:val="008C51BB"/>
    <w:rsid w:val="00943EAA"/>
    <w:rsid w:val="0095073C"/>
    <w:rsid w:val="00952167"/>
    <w:rsid w:val="00962E8D"/>
    <w:rsid w:val="00965912"/>
    <w:rsid w:val="0097332A"/>
    <w:rsid w:val="00982CEE"/>
    <w:rsid w:val="0098554D"/>
    <w:rsid w:val="009A49D1"/>
    <w:rsid w:val="009A5C20"/>
    <w:rsid w:val="00A01433"/>
    <w:rsid w:val="00A1086B"/>
    <w:rsid w:val="00A52FD8"/>
    <w:rsid w:val="00A63CEC"/>
    <w:rsid w:val="00A65F84"/>
    <w:rsid w:val="00A7575A"/>
    <w:rsid w:val="00A924A8"/>
    <w:rsid w:val="00AB3848"/>
    <w:rsid w:val="00AC196A"/>
    <w:rsid w:val="00AF267F"/>
    <w:rsid w:val="00B04457"/>
    <w:rsid w:val="00B573D6"/>
    <w:rsid w:val="00B76D42"/>
    <w:rsid w:val="00B9498E"/>
    <w:rsid w:val="00BA3184"/>
    <w:rsid w:val="00BB59E5"/>
    <w:rsid w:val="00BD5E24"/>
    <w:rsid w:val="00BD7E05"/>
    <w:rsid w:val="00BF7FD2"/>
    <w:rsid w:val="00C266D3"/>
    <w:rsid w:val="00C87066"/>
    <w:rsid w:val="00C87772"/>
    <w:rsid w:val="00CF63A8"/>
    <w:rsid w:val="00D13EAB"/>
    <w:rsid w:val="00D37EDB"/>
    <w:rsid w:val="00D556FE"/>
    <w:rsid w:val="00D56D7F"/>
    <w:rsid w:val="00D60CB0"/>
    <w:rsid w:val="00D912A5"/>
    <w:rsid w:val="00DB7600"/>
    <w:rsid w:val="00DE5AA8"/>
    <w:rsid w:val="00E520D5"/>
    <w:rsid w:val="00E62E47"/>
    <w:rsid w:val="00E76FC3"/>
    <w:rsid w:val="00ED2DB5"/>
    <w:rsid w:val="00EF197D"/>
    <w:rsid w:val="00F07157"/>
    <w:rsid w:val="00F46A75"/>
    <w:rsid w:val="00F674A7"/>
    <w:rsid w:val="00F67527"/>
    <w:rsid w:val="00F90281"/>
    <w:rsid w:val="00FB05FB"/>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13DEF8-B40D-4590-9037-2055AD4DD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7E8"/>
    <w:pPr>
      <w:spacing w:after="200" w:line="276" w:lineRule="auto"/>
    </w:pPr>
    <w:rPr>
      <w:rFonts w:ascii="Arial" w:hAnsi="Arial" w:cs="Arial"/>
      <w:color w:val="7030A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947E8"/>
    <w:pPr>
      <w:spacing w:after="0" w:line="240" w:lineRule="auto"/>
    </w:pPr>
  </w:style>
  <w:style w:type="table" w:styleId="TableGrid">
    <w:name w:val="Table Grid"/>
    <w:basedOn w:val="TableNormal"/>
    <w:rsid w:val="004947E8"/>
    <w:pPr>
      <w:spacing w:after="0" w:line="240" w:lineRule="auto"/>
    </w:pPr>
    <w:rPr>
      <w:rFonts w:ascii="Arial" w:hAnsi="Arial" w:cs="Arial"/>
      <w:color w:val="7030A0"/>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Resume Title"/>
    <w:basedOn w:val="Normal"/>
    <w:link w:val="ListParagraphChar"/>
    <w:uiPriority w:val="34"/>
    <w:qFormat/>
    <w:rsid w:val="004947E8"/>
    <w:pPr>
      <w:spacing w:after="100" w:afterAutospacing="1" w:line="240" w:lineRule="auto"/>
      <w:ind w:left="720"/>
      <w:contextualSpacing/>
    </w:pPr>
    <w:rPr>
      <w:rFonts w:ascii="Calibri" w:eastAsia="Calibri" w:hAnsi="Calibri" w:cs="Times New Roman"/>
      <w:color w:val="auto"/>
    </w:rPr>
  </w:style>
  <w:style w:type="paragraph" w:styleId="Footer">
    <w:name w:val="footer"/>
    <w:basedOn w:val="Normal"/>
    <w:link w:val="FooterChar"/>
    <w:uiPriority w:val="99"/>
    <w:unhideWhenUsed/>
    <w:rsid w:val="004947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47E8"/>
    <w:rPr>
      <w:rFonts w:ascii="Arial" w:hAnsi="Arial" w:cs="Arial"/>
      <w:color w:val="7030A0"/>
      <w:lang w:val="en-US"/>
    </w:rPr>
  </w:style>
  <w:style w:type="character" w:customStyle="1" w:styleId="ListParagraphChar">
    <w:name w:val="List Paragraph Char"/>
    <w:aliases w:val="Resume Title Char"/>
    <w:link w:val="ListParagraph"/>
    <w:uiPriority w:val="34"/>
    <w:locked/>
    <w:rsid w:val="004947E8"/>
    <w:rPr>
      <w:rFonts w:ascii="Calibri" w:eastAsia="Calibri" w:hAnsi="Calibri" w:cs="Times New Roman"/>
      <w:lang w:val="en-US"/>
    </w:rPr>
  </w:style>
  <w:style w:type="paragraph" w:styleId="BalloonText">
    <w:name w:val="Balloon Text"/>
    <w:basedOn w:val="Normal"/>
    <w:link w:val="BalloonTextChar"/>
    <w:uiPriority w:val="99"/>
    <w:semiHidden/>
    <w:unhideWhenUsed/>
    <w:rsid w:val="008318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1815"/>
    <w:rPr>
      <w:rFonts w:ascii="Segoe UI" w:hAnsi="Segoe UI" w:cs="Segoe UI"/>
      <w:color w:val="7030A0"/>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8CEB6-6771-4CFB-99E3-11CF08F6A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5</Pages>
  <Words>2147</Words>
  <Characters>12239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Executive Summary</vt:lpstr>
    </vt:vector>
  </TitlesOfParts>
  <Company/>
  <LinksUpToDate>false</LinksUpToDate>
  <CharactersWithSpaces>14358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Summary</dc:title>
  <dc:subject/>
  <dc:creator>COA - National Tobacco Administration</dc:creator>
  <cp:keywords/>
  <dc:description/>
  <cp:lastModifiedBy>Ben A. Lazo, Jr.</cp:lastModifiedBy>
  <cp:revision>92</cp:revision>
  <cp:lastPrinted>2019-06-14T04:56:00Z</cp:lastPrinted>
  <dcterms:created xsi:type="dcterms:W3CDTF">2019-02-21T06:42:00Z</dcterms:created>
  <dcterms:modified xsi:type="dcterms:W3CDTF">2019-06-29T01:32:00Z</dcterms:modified>
</cp:coreProperties>
</file>